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EC" w:rsidRDefault="001C65EC" w:rsidP="002C22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D04" w:rsidRDefault="002C223C" w:rsidP="002C22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YASA                         </w:t>
      </w:r>
      <w:r>
        <w:rPr>
          <w:rFonts w:ascii="Times New Roman" w:hAnsi="Times New Roman" w:cs="Times New Roman"/>
          <w:b/>
          <w:sz w:val="24"/>
          <w:szCs w:val="24"/>
        </w:rPr>
        <w:t>YASAKLI MALZEME</w:t>
      </w:r>
      <w:r w:rsidRPr="008C6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0A5" w:rsidRPr="008C6985">
        <w:rPr>
          <w:rFonts w:ascii="Times New Roman" w:hAnsi="Times New Roman" w:cs="Times New Roman"/>
          <w:b/>
          <w:sz w:val="24"/>
          <w:szCs w:val="24"/>
        </w:rPr>
        <w:t>T</w:t>
      </w:r>
      <w:r w:rsidR="00002D04">
        <w:rPr>
          <w:rFonts w:ascii="Times New Roman" w:hAnsi="Times New Roman" w:cs="Times New Roman"/>
          <w:b/>
          <w:sz w:val="24"/>
          <w:szCs w:val="24"/>
        </w:rPr>
        <w:t>AAHHÜT FORMU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EK-2</w:t>
      </w:r>
      <w:r w:rsidR="00672CD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002D04" w:rsidRDefault="00002D04" w:rsidP="001C65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C47" w:rsidRDefault="003E0C47" w:rsidP="001C65EC">
      <w:pPr>
        <w:pStyle w:val="Gvdemetni1"/>
        <w:shd w:val="clear" w:color="auto" w:fill="auto"/>
        <w:tabs>
          <w:tab w:val="left" w:pos="142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223C">
        <w:rPr>
          <w:rFonts w:ascii="Times New Roman" w:hAnsi="Times New Roman" w:cs="Times New Roman"/>
          <w:sz w:val="24"/>
          <w:szCs w:val="24"/>
        </w:rPr>
        <w:t xml:space="preserve">Dalaman </w:t>
      </w:r>
      <w:r w:rsidR="00DA4541">
        <w:rPr>
          <w:rFonts w:ascii="Times New Roman" w:hAnsi="Times New Roman" w:cs="Times New Roman"/>
          <w:sz w:val="24"/>
          <w:szCs w:val="24"/>
        </w:rPr>
        <w:t xml:space="preserve">Havalimanı Giriş Kartları Yönergesi kapsamında </w:t>
      </w:r>
      <w:r w:rsidR="00A32E52" w:rsidRPr="00A32E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Günübirlik Geçici Giriş (8) saate kadar) ve </w:t>
      </w:r>
      <w:r w:rsidR="00A32E52" w:rsidRPr="00A32E52">
        <w:t>(</w:t>
      </w:r>
      <w:r w:rsidR="00A32E52" w:rsidRPr="00A32E52">
        <w:rPr>
          <w:rFonts w:ascii="Times New Roman" w:hAnsi="Times New Roman" w:cs="Times New Roman"/>
          <w:sz w:val="24"/>
        </w:rPr>
        <w:t>8) saati aşan durumlarda yıl</w:t>
      </w:r>
      <w:r w:rsidR="00A32E52" w:rsidRPr="00A32E52">
        <w:rPr>
          <w:rFonts w:ascii="Times New Roman" w:hAnsi="Times New Roman" w:cs="Times New Roman"/>
          <w:spacing w:val="-11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içinde</w:t>
      </w:r>
      <w:r w:rsidR="00A32E52" w:rsidRPr="00A32E52">
        <w:rPr>
          <w:rFonts w:ascii="Times New Roman" w:hAnsi="Times New Roman" w:cs="Times New Roman"/>
          <w:spacing w:val="-12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toplamda</w:t>
      </w:r>
      <w:r w:rsidR="00A32E52" w:rsidRPr="00A32E52">
        <w:rPr>
          <w:rFonts w:ascii="Times New Roman" w:hAnsi="Times New Roman" w:cs="Times New Roman"/>
          <w:spacing w:val="-11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90</w:t>
      </w:r>
      <w:r w:rsidR="00A32E52" w:rsidRPr="00A32E52">
        <w:rPr>
          <w:rFonts w:ascii="Times New Roman" w:hAnsi="Times New Roman" w:cs="Times New Roman"/>
          <w:spacing w:val="-11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günü</w:t>
      </w:r>
      <w:r w:rsidR="00A32E52" w:rsidRPr="00A32E52">
        <w:rPr>
          <w:rFonts w:ascii="Times New Roman" w:hAnsi="Times New Roman" w:cs="Times New Roman"/>
          <w:spacing w:val="-6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ve</w:t>
      </w:r>
      <w:r w:rsidR="00A32E52" w:rsidRPr="00A32E52">
        <w:rPr>
          <w:rFonts w:ascii="Times New Roman" w:hAnsi="Times New Roman" w:cs="Times New Roman"/>
          <w:spacing w:val="-11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tek</w:t>
      </w:r>
      <w:r w:rsidR="00A32E52" w:rsidRPr="00A32E52">
        <w:rPr>
          <w:rFonts w:ascii="Times New Roman" w:hAnsi="Times New Roman" w:cs="Times New Roman"/>
          <w:spacing w:val="-12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seferde</w:t>
      </w:r>
      <w:r w:rsidR="00A32E52" w:rsidRPr="00A32E52">
        <w:rPr>
          <w:rFonts w:ascii="Times New Roman" w:hAnsi="Times New Roman" w:cs="Times New Roman"/>
          <w:spacing w:val="-12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en fazla</w:t>
      </w:r>
      <w:r w:rsidR="00A32E52" w:rsidRPr="00A32E52">
        <w:rPr>
          <w:rFonts w:ascii="Times New Roman" w:hAnsi="Times New Roman" w:cs="Times New Roman"/>
          <w:spacing w:val="-13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15</w:t>
      </w:r>
      <w:r w:rsidR="00A32E52" w:rsidRPr="00A32E52">
        <w:rPr>
          <w:rFonts w:ascii="Times New Roman" w:hAnsi="Times New Roman" w:cs="Times New Roman"/>
          <w:spacing w:val="-11"/>
          <w:sz w:val="24"/>
        </w:rPr>
        <w:t xml:space="preserve"> </w:t>
      </w:r>
      <w:r w:rsidR="00A32E52" w:rsidRPr="00A32E52">
        <w:rPr>
          <w:rFonts w:ascii="Times New Roman" w:hAnsi="Times New Roman" w:cs="Times New Roman"/>
          <w:sz w:val="24"/>
        </w:rPr>
        <w:t>günü geçmeyecek şekilde düzenlenen</w:t>
      </w:r>
      <w:r w:rsidR="00A32E52">
        <w:rPr>
          <w:rFonts w:ascii="Times New Roman" w:hAnsi="Times New Roman" w:cs="Times New Roman"/>
          <w:sz w:val="24"/>
        </w:rPr>
        <w:t xml:space="preserve"> Geçici Girişlerde; </w:t>
      </w:r>
    </w:p>
    <w:p w:rsidR="00A32E52" w:rsidRDefault="003E0C47" w:rsidP="001C65EC">
      <w:pPr>
        <w:pStyle w:val="Gvdemetni1"/>
        <w:shd w:val="clear" w:color="auto" w:fill="auto"/>
        <w:tabs>
          <w:tab w:val="left" w:pos="142"/>
          <w:tab w:val="left" w:pos="113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32E52" w:rsidRPr="00A32E52">
        <w:rPr>
          <w:rFonts w:ascii="Times New Roman" w:hAnsi="Times New Roman"/>
          <w:sz w:val="24"/>
          <w:szCs w:val="24"/>
        </w:rPr>
        <w:t xml:space="preserve">Kurum/Kuruluşlar tarafından tamir, bakım ve onarım gibi dışarıdan teknik personel ve yanında alet, edevat, yedek ve sarf malzemeler için güvenlik tahditli alanlara </w:t>
      </w:r>
      <w:r w:rsidR="00A32E52">
        <w:rPr>
          <w:rFonts w:ascii="Times New Roman" w:hAnsi="Times New Roman"/>
          <w:sz w:val="24"/>
          <w:szCs w:val="24"/>
        </w:rPr>
        <w:t xml:space="preserve">giriş izni verilmesi durumunda yasaklı malzemeler ile ilgili </w:t>
      </w:r>
      <w:r w:rsidR="002C223C">
        <w:rPr>
          <w:rFonts w:ascii="Times New Roman" w:hAnsi="Times New Roman"/>
          <w:sz w:val="24"/>
          <w:szCs w:val="24"/>
        </w:rPr>
        <w:t>uyulması gereken kura</w:t>
      </w:r>
      <w:r w:rsidR="00A32E52">
        <w:rPr>
          <w:rFonts w:ascii="Times New Roman" w:hAnsi="Times New Roman"/>
          <w:sz w:val="24"/>
          <w:szCs w:val="24"/>
        </w:rPr>
        <w:t>llar aşağıda belirtilmiştir;</w:t>
      </w:r>
    </w:p>
    <w:p w:rsidR="00E805B7" w:rsidRDefault="003E0C47" w:rsidP="001C65EC">
      <w:pPr>
        <w:pStyle w:val="ListeParagraf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Geçici i</w:t>
      </w:r>
      <w:r w:rsidR="00A32E52" w:rsidRPr="00A32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zin alınarak </w:t>
      </w:r>
      <w:r w:rsidR="00E805B7" w:rsidRPr="00A32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hava tarafında hizmet gereği bulunması gereken 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MSHGP’nın</w:t>
      </w:r>
      <w:proofErr w:type="spellEnd"/>
      <w:r w:rsidR="00E805B7" w:rsidRPr="00A32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 Ekinde yer alan yasaklı malzemelerle ilgili olarak kurum kuruluşlarca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malzemelerin hava tarafında bulunduğu süre içerisinde </w:t>
      </w:r>
      <w:r w:rsidR="00E805B7" w:rsidRPr="003E0C47">
        <w:rPr>
          <w:rFonts w:ascii="Times New Roman" w:hAnsi="Times New Roman" w:cs="Times New Roman"/>
          <w:color w:val="000000" w:themeColor="text1"/>
          <w:sz w:val="24"/>
          <w:szCs w:val="24"/>
        </w:rPr>
        <w:t>alakalı yetkisiz kişilerin ulaşımını engellemek üzere gerekli önlemleri almak ilgili kurum kuruluş ve bu malzemeleri kullanan personel sorumluluğundadır.</w:t>
      </w:r>
    </w:p>
    <w:p w:rsidR="00E805B7" w:rsidRPr="003E0C47" w:rsidRDefault="00E805B7" w:rsidP="001C65EC">
      <w:pPr>
        <w:pStyle w:val="ListeParagraf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Kayıp, çalıntı gibi durumlarda, ivedi olarak </w:t>
      </w:r>
      <w:proofErr w:type="spellStart"/>
      <w:r w:rsidRPr="003E0C47">
        <w:rPr>
          <w:rFonts w:ascii="Times New Roman" w:hAnsi="Times New Roman" w:cs="Times New Roman"/>
          <w:color w:val="000000" w:themeColor="text1"/>
          <w:sz w:val="24"/>
          <w:szCs w:val="24"/>
        </w:rPr>
        <w:t>MİA’ne</w:t>
      </w:r>
      <w:proofErr w:type="spellEnd"/>
      <w:r w:rsidRPr="003E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bilgi verilir.</w:t>
      </w:r>
    </w:p>
    <w:p w:rsidR="003E0C47" w:rsidRDefault="003E0C47" w:rsidP="001C65EC">
      <w:pPr>
        <w:pStyle w:val="ListeParagraf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Malzemelerin kullanılmadığı zamanlarda </w:t>
      </w:r>
      <w:r w:rsidR="00E805B7" w:rsidRPr="00E805B7">
        <w:rPr>
          <w:rFonts w:ascii="Times New Roman" w:hAnsi="Times New Roman" w:cs="Times New Roman"/>
          <w:color w:val="000000" w:themeColor="text1"/>
          <w:sz w:val="24"/>
          <w:szCs w:val="24"/>
        </w:rPr>
        <w:t>Depolama; Ek-17’de listelenen maddeler güvenli ve emniyetli koşullarda tutulmaları şartı ile güvenlik tahditli alanlarda depolanabilir.</w:t>
      </w:r>
    </w:p>
    <w:p w:rsidR="00E805B7" w:rsidRDefault="00091D7B" w:rsidP="001C65EC">
      <w:pPr>
        <w:pStyle w:val="ListeParagraf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Güvenlik t</w:t>
      </w:r>
      <w:r w:rsidR="00216FA3">
        <w:rPr>
          <w:rFonts w:ascii="Times New Roman" w:hAnsi="Times New Roman" w:cs="Times New Roman"/>
          <w:color w:val="000000" w:themeColor="text1"/>
          <w:sz w:val="24"/>
          <w:szCs w:val="24"/>
        </w:rPr>
        <w:t>ahditli alanlarda</w:t>
      </w:r>
      <w:r w:rsidR="00E805B7" w:rsidRPr="003E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kullanılan yasaklı maddeler yolcular tarafından erişiminin ve ediniminin engellenmesini sağlayacak önlemler alınması </w:t>
      </w:r>
      <w:r w:rsidR="003E0C47">
        <w:rPr>
          <w:rFonts w:ascii="Times New Roman" w:hAnsi="Times New Roman" w:cs="Times New Roman"/>
          <w:color w:val="000000" w:themeColor="text1"/>
          <w:sz w:val="24"/>
          <w:szCs w:val="24"/>
        </w:rPr>
        <w:t>gerekmektedir.</w:t>
      </w:r>
    </w:p>
    <w:p w:rsidR="003E0C47" w:rsidRDefault="003E0C47" w:rsidP="001C65EC">
      <w:pPr>
        <w:pStyle w:val="ListeParagraf"/>
        <w:numPr>
          <w:ilvl w:val="0"/>
          <w:numId w:val="3"/>
        </w:num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Geçici giriş izin süresinin sona ermesi ile birlikte yasaklı malzemelerin tamamının dışarıya çıkartılmasından kurum/kuruluş</w:t>
      </w:r>
      <w:r w:rsidR="00091D7B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(refakatçi personel) sorumludur.</w:t>
      </w:r>
    </w:p>
    <w:p w:rsidR="00002D04" w:rsidRDefault="00002D04" w:rsidP="001C65EC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805B7" w:rsidRDefault="002C223C" w:rsidP="001C65EC">
      <w:pPr>
        <w:pStyle w:val="GvdeMetni"/>
        <w:ind w:firstLine="708"/>
      </w:pPr>
      <w:r>
        <w:rPr>
          <w:b/>
          <w:i/>
        </w:rPr>
        <w:t xml:space="preserve">Dalaman </w:t>
      </w:r>
      <w:r w:rsidR="00091D7B">
        <w:rPr>
          <w:b/>
          <w:i/>
        </w:rPr>
        <w:t xml:space="preserve">Havalimanı Giriş Kartları </w:t>
      </w:r>
      <w:r w:rsidR="001C65EC">
        <w:rPr>
          <w:b/>
          <w:i/>
        </w:rPr>
        <w:t>Y</w:t>
      </w:r>
      <w:r w:rsidR="00091D7B">
        <w:rPr>
          <w:b/>
          <w:i/>
        </w:rPr>
        <w:t xml:space="preserve">önergesi kapsamında yapılan geçici girişlerde </w:t>
      </w:r>
      <w:r w:rsidR="00BC0822">
        <w:rPr>
          <w:b/>
          <w:i/>
        </w:rPr>
        <w:t xml:space="preserve">geçişine izin verilen </w:t>
      </w:r>
      <w:r w:rsidR="00091D7B">
        <w:rPr>
          <w:b/>
          <w:i/>
        </w:rPr>
        <w:t>yasaklı malzemeler</w:t>
      </w:r>
      <w:r w:rsidR="00BC0822">
        <w:rPr>
          <w:b/>
          <w:i/>
        </w:rPr>
        <w:t>in</w:t>
      </w:r>
      <w:r w:rsidR="00091D7B">
        <w:rPr>
          <w:b/>
          <w:i/>
        </w:rPr>
        <w:t xml:space="preserve"> güvenlik tahditli alanlarda bulunduğu süre içerisinde</w:t>
      </w:r>
      <w:r w:rsidR="00BC0822">
        <w:rPr>
          <w:b/>
          <w:i/>
        </w:rPr>
        <w:t xml:space="preserve"> </w:t>
      </w:r>
      <w:r w:rsidR="001C65EC">
        <w:rPr>
          <w:b/>
          <w:i/>
        </w:rPr>
        <w:t xml:space="preserve">yukarıdaki maddeler halinde bildirilen kurallar doğrultusunda refakat edileceğini </w:t>
      </w:r>
      <w:r w:rsidR="00E805B7">
        <w:t xml:space="preserve">şirket </w:t>
      </w:r>
      <w:r w:rsidR="001C65EC">
        <w:t xml:space="preserve">olarak taahhüt ediyoruz. </w:t>
      </w:r>
      <w:proofErr w:type="gramStart"/>
      <w:r w:rsidR="00E805B7">
        <w:t>…</w:t>
      </w:r>
      <w:r w:rsidR="001C65EC">
        <w:t>..</w:t>
      </w:r>
      <w:proofErr w:type="gramEnd"/>
      <w:r w:rsidR="00E805B7">
        <w:t>/</w:t>
      </w:r>
      <w:r w:rsidR="001C65EC">
        <w:t>…..</w:t>
      </w:r>
      <w:r w:rsidR="00651B7F">
        <w:t>/20</w:t>
      </w:r>
      <w:r w:rsidR="001C65EC">
        <w:t>..</w:t>
      </w:r>
    </w:p>
    <w:p w:rsidR="00E805B7" w:rsidRDefault="00E805B7" w:rsidP="001C65EC">
      <w:pPr>
        <w:pStyle w:val="GvdeMetni"/>
        <w:ind w:firstLine="708"/>
      </w:pPr>
    </w:p>
    <w:p w:rsidR="00E805B7" w:rsidRDefault="00E805B7" w:rsidP="001C65EC">
      <w:pPr>
        <w:pStyle w:val="GvdeMetni"/>
        <w:ind w:firstLine="708"/>
      </w:pPr>
    </w:p>
    <w:p w:rsidR="00E805B7" w:rsidRDefault="00E805B7" w:rsidP="00E805B7">
      <w:pPr>
        <w:pStyle w:val="GvdeMetni"/>
        <w:spacing w:line="276" w:lineRule="auto"/>
        <w:ind w:firstLine="708"/>
        <w:rPr>
          <w:b/>
          <w:u w:val="single"/>
        </w:rPr>
      </w:pPr>
      <w:r w:rsidRPr="00FD75B7">
        <w:rPr>
          <w:b/>
          <w:u w:val="single"/>
        </w:rPr>
        <w:t>T</w:t>
      </w:r>
      <w:r w:rsidR="001C65EC">
        <w:rPr>
          <w:b/>
          <w:u w:val="single"/>
        </w:rPr>
        <w:t>aahhüt Eden Kurum Kuruluş</w:t>
      </w:r>
    </w:p>
    <w:p w:rsidR="001C65EC" w:rsidRPr="00FD75B7" w:rsidRDefault="001C65EC" w:rsidP="00E805B7">
      <w:pPr>
        <w:pStyle w:val="GvdeMetni"/>
        <w:spacing w:line="276" w:lineRule="auto"/>
        <w:ind w:firstLine="708"/>
        <w:rPr>
          <w:b/>
          <w:u w:val="single"/>
        </w:rPr>
      </w:pPr>
      <w:r>
        <w:rPr>
          <w:b/>
          <w:u w:val="single"/>
        </w:rPr>
        <w:t>Kaşe ve İmzası</w:t>
      </w:r>
    </w:p>
    <w:p w:rsidR="00E805B7" w:rsidRPr="00FD75B7" w:rsidRDefault="00E805B7" w:rsidP="00E805B7">
      <w:pPr>
        <w:pStyle w:val="GvdeMetni"/>
        <w:spacing w:line="276" w:lineRule="auto"/>
        <w:ind w:firstLine="708"/>
        <w:rPr>
          <w:u w:val="single"/>
        </w:rPr>
      </w:pPr>
    </w:p>
    <w:p w:rsidR="00E805B7" w:rsidRPr="00FD75B7" w:rsidRDefault="00E805B7" w:rsidP="00E805B7">
      <w:pPr>
        <w:pStyle w:val="GvdeMetni"/>
        <w:spacing w:line="276" w:lineRule="auto"/>
        <w:ind w:firstLine="708"/>
        <w:rPr>
          <w:u w:val="single"/>
        </w:rPr>
      </w:pPr>
    </w:p>
    <w:p w:rsidR="00E805B7" w:rsidRPr="00FD75B7" w:rsidRDefault="00FD75B7" w:rsidP="00E805B7">
      <w:pPr>
        <w:pStyle w:val="GvdeMetni"/>
        <w:spacing w:line="276" w:lineRule="auto"/>
        <w:ind w:firstLine="708"/>
      </w:pPr>
      <w:r w:rsidRPr="00FD75B7">
        <w:tab/>
      </w:r>
      <w:r w:rsidRPr="00FD75B7">
        <w:tab/>
      </w:r>
      <w:r w:rsidRPr="00FD75B7">
        <w:tab/>
      </w:r>
      <w:r w:rsidRPr="00FD75B7">
        <w:tab/>
      </w:r>
      <w:r w:rsidRPr="00FD75B7">
        <w:tab/>
      </w:r>
      <w:r w:rsidRPr="00FD75B7">
        <w:tab/>
      </w:r>
    </w:p>
    <w:sectPr w:rsidR="00E805B7" w:rsidRPr="00FD75B7" w:rsidSect="00FD75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E52BF"/>
    <w:multiLevelType w:val="hybridMultilevel"/>
    <w:tmpl w:val="ABCC39D4"/>
    <w:lvl w:ilvl="0" w:tplc="E0083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4D1F"/>
    <w:multiLevelType w:val="hybridMultilevel"/>
    <w:tmpl w:val="B42EF9F6"/>
    <w:lvl w:ilvl="0" w:tplc="A3A4466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37071"/>
    <w:multiLevelType w:val="hybridMultilevel"/>
    <w:tmpl w:val="15F222BE"/>
    <w:lvl w:ilvl="0" w:tplc="4246C5EA">
      <w:start w:val="1"/>
      <w:numFmt w:val="upperLetter"/>
      <w:lvlText w:val="%1."/>
      <w:lvlJc w:val="left"/>
      <w:pPr>
        <w:ind w:left="13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691523A0"/>
    <w:multiLevelType w:val="hybridMultilevel"/>
    <w:tmpl w:val="5E92A1CC"/>
    <w:lvl w:ilvl="0" w:tplc="D1CE8CDC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B8F0CD3"/>
    <w:multiLevelType w:val="hybridMultilevel"/>
    <w:tmpl w:val="A46A0F10"/>
    <w:lvl w:ilvl="0" w:tplc="CF6AA46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A5"/>
    <w:rsid w:val="00002043"/>
    <w:rsid w:val="00002D04"/>
    <w:rsid w:val="000526FF"/>
    <w:rsid w:val="00091D7B"/>
    <w:rsid w:val="0009753F"/>
    <w:rsid w:val="00103493"/>
    <w:rsid w:val="00137A9E"/>
    <w:rsid w:val="0014244E"/>
    <w:rsid w:val="001800D2"/>
    <w:rsid w:val="001A625C"/>
    <w:rsid w:val="001C65EC"/>
    <w:rsid w:val="001E29CF"/>
    <w:rsid w:val="00207949"/>
    <w:rsid w:val="00216FA3"/>
    <w:rsid w:val="00281E8A"/>
    <w:rsid w:val="002B43A1"/>
    <w:rsid w:val="002C223C"/>
    <w:rsid w:val="002C5166"/>
    <w:rsid w:val="002E2BB9"/>
    <w:rsid w:val="002F2ED9"/>
    <w:rsid w:val="00311A21"/>
    <w:rsid w:val="00384F89"/>
    <w:rsid w:val="003D4A53"/>
    <w:rsid w:val="003E0C47"/>
    <w:rsid w:val="00400348"/>
    <w:rsid w:val="00476B2C"/>
    <w:rsid w:val="004C70A6"/>
    <w:rsid w:val="004F5231"/>
    <w:rsid w:val="00523981"/>
    <w:rsid w:val="005374D8"/>
    <w:rsid w:val="005627A5"/>
    <w:rsid w:val="00590FF1"/>
    <w:rsid w:val="00592AF8"/>
    <w:rsid w:val="00594C92"/>
    <w:rsid w:val="005B625C"/>
    <w:rsid w:val="00650A85"/>
    <w:rsid w:val="00651B7F"/>
    <w:rsid w:val="00672CD0"/>
    <w:rsid w:val="0068097C"/>
    <w:rsid w:val="0069737C"/>
    <w:rsid w:val="006A3683"/>
    <w:rsid w:val="006E0527"/>
    <w:rsid w:val="007140E4"/>
    <w:rsid w:val="00811C26"/>
    <w:rsid w:val="008121F3"/>
    <w:rsid w:val="00896B5C"/>
    <w:rsid w:val="008A2838"/>
    <w:rsid w:val="008C6985"/>
    <w:rsid w:val="009607FF"/>
    <w:rsid w:val="009644BA"/>
    <w:rsid w:val="009D02EE"/>
    <w:rsid w:val="009F2C88"/>
    <w:rsid w:val="00A32E52"/>
    <w:rsid w:val="00A51D33"/>
    <w:rsid w:val="00A65654"/>
    <w:rsid w:val="00A75868"/>
    <w:rsid w:val="00AF0F3C"/>
    <w:rsid w:val="00B2362B"/>
    <w:rsid w:val="00B823E1"/>
    <w:rsid w:val="00B875E6"/>
    <w:rsid w:val="00BA53FF"/>
    <w:rsid w:val="00BC0822"/>
    <w:rsid w:val="00BF71EE"/>
    <w:rsid w:val="00C27F90"/>
    <w:rsid w:val="00C90A1D"/>
    <w:rsid w:val="00C94A48"/>
    <w:rsid w:val="00CB5E56"/>
    <w:rsid w:val="00CC60A5"/>
    <w:rsid w:val="00CD1AC6"/>
    <w:rsid w:val="00D15736"/>
    <w:rsid w:val="00D17ED9"/>
    <w:rsid w:val="00DA4541"/>
    <w:rsid w:val="00DD43E0"/>
    <w:rsid w:val="00E227D3"/>
    <w:rsid w:val="00E25FE3"/>
    <w:rsid w:val="00E805B7"/>
    <w:rsid w:val="00E86210"/>
    <w:rsid w:val="00E93F25"/>
    <w:rsid w:val="00ED79E0"/>
    <w:rsid w:val="00EE79A7"/>
    <w:rsid w:val="00F32560"/>
    <w:rsid w:val="00F40966"/>
    <w:rsid w:val="00F73437"/>
    <w:rsid w:val="00F7452F"/>
    <w:rsid w:val="00F82561"/>
    <w:rsid w:val="00F97DC8"/>
    <w:rsid w:val="00FC7425"/>
    <w:rsid w:val="00FD75B7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2253"/>
  <w15:chartTrackingRefBased/>
  <w15:docId w15:val="{18A31EF3-F441-4D05-8038-4D3CFC69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99"/>
    <w:qFormat/>
    <w:rsid w:val="005B625C"/>
    <w:pPr>
      <w:ind w:left="720"/>
      <w:contextualSpacing/>
    </w:pPr>
  </w:style>
  <w:style w:type="paragraph" w:styleId="AralkYok">
    <w:name w:val="No Spacing"/>
    <w:uiPriority w:val="1"/>
    <w:qFormat/>
    <w:rsid w:val="00DD43E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561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basedOn w:val="VarsaylanParagrafYazTipi"/>
    <w:link w:val="ListeParagraf"/>
    <w:uiPriority w:val="99"/>
    <w:locked/>
    <w:rsid w:val="00E805B7"/>
  </w:style>
  <w:style w:type="paragraph" w:styleId="GvdeMetni">
    <w:name w:val="Body Text"/>
    <w:basedOn w:val="Normal"/>
    <w:link w:val="GvdeMetniChar"/>
    <w:rsid w:val="00E805B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805B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0">
    <w:name w:val="Gövde metni_"/>
    <w:link w:val="Gvdemetni1"/>
    <w:rsid w:val="00002D04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002D04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</w:rPr>
  </w:style>
  <w:style w:type="character" w:customStyle="1" w:styleId="GvdemetniKaln">
    <w:name w:val="Gövde metni + Kalın"/>
    <w:rsid w:val="00DA454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7BB607-AEF3-4593-AA2E-ED74D9CF69CE}"/>
</file>

<file path=customXml/itemProps2.xml><?xml version="1.0" encoding="utf-8"?>
<ds:datastoreItem xmlns:ds="http://schemas.openxmlformats.org/officeDocument/2006/customXml" ds:itemID="{A83BA8EF-BB9F-4E18-8DCA-25859763772D}"/>
</file>

<file path=customXml/itemProps3.xml><?xml version="1.0" encoding="utf-8"?>
<ds:datastoreItem xmlns:ds="http://schemas.openxmlformats.org/officeDocument/2006/customXml" ds:itemID="{723CD06E-CB03-47BA-9465-243CB57CA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İYEM</dc:creator>
  <cp:keywords/>
  <dc:description/>
  <cp:lastModifiedBy>ERKAN SATILMIŞ</cp:lastModifiedBy>
  <cp:revision>8</cp:revision>
  <cp:lastPrinted>2021-09-22T11:18:00Z</cp:lastPrinted>
  <dcterms:created xsi:type="dcterms:W3CDTF">2021-09-22T09:11:00Z</dcterms:created>
  <dcterms:modified xsi:type="dcterms:W3CDTF">2024-02-05T13:01:00Z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90500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