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47" w:rsidRPr="00805A3F" w:rsidRDefault="006B0D47" w:rsidP="00BB735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A3F">
        <w:rPr>
          <w:rFonts w:ascii="Times New Roman" w:hAnsi="Times New Roman" w:cs="Times New Roman"/>
          <w:b/>
          <w:sz w:val="24"/>
          <w:szCs w:val="24"/>
        </w:rPr>
        <w:t>AMAÇ</w:t>
      </w:r>
    </w:p>
    <w:p w:rsidR="006B0D47" w:rsidRDefault="00090D6B" w:rsidP="00986E35">
      <w:pPr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talimatın amacı, </w:t>
      </w:r>
      <w:r w:rsidR="00986E35">
        <w:rPr>
          <w:rFonts w:ascii="Times New Roman" w:hAnsi="Times New Roman" w:cs="Times New Roman"/>
          <w:sz w:val="24"/>
          <w:szCs w:val="24"/>
        </w:rPr>
        <w:t>Kuruluşun ihtiyacı olan mal veya hizmetin mevzuata uygun olarak alımının gerçekleştirilmesini müteakip doğan bir alacağın veya borcun ödenebilecek duruma gelmesi, bir parasal alacak hakkının doğması süreci olan Tahakkuk işlemlerinin yürütülmesidir.</w:t>
      </w:r>
    </w:p>
    <w:p w:rsidR="00EF6931" w:rsidRPr="00805A3F" w:rsidRDefault="00EF6931" w:rsidP="00BB735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A3F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986E35" w:rsidRPr="00960174" w:rsidRDefault="00986E35" w:rsidP="00986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0174">
        <w:rPr>
          <w:rFonts w:ascii="Times New Roman" w:hAnsi="Times New Roman" w:cs="Times New Roman"/>
          <w:sz w:val="24"/>
          <w:szCs w:val="24"/>
        </w:rPr>
        <w:t>DHMİ Genel Müdürlüğü merkez ve taşra teşkilatında görev yapan tüm personel ve ünite/birimleri kapsar.</w:t>
      </w:r>
    </w:p>
    <w:p w:rsidR="00EF6931" w:rsidRPr="00805A3F" w:rsidRDefault="008658AC" w:rsidP="00BB735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A3F">
        <w:rPr>
          <w:rFonts w:ascii="Times New Roman" w:hAnsi="Times New Roman" w:cs="Times New Roman"/>
          <w:b/>
          <w:sz w:val="24"/>
          <w:szCs w:val="24"/>
        </w:rPr>
        <w:t>SORUMLULUK</w:t>
      </w:r>
    </w:p>
    <w:p w:rsidR="008658AC" w:rsidRDefault="00986E35" w:rsidP="00AE6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0D6B">
        <w:rPr>
          <w:rFonts w:ascii="Times New Roman" w:hAnsi="Times New Roman" w:cs="Times New Roman"/>
          <w:sz w:val="24"/>
          <w:szCs w:val="24"/>
        </w:rPr>
        <w:t>Merkezd</w:t>
      </w:r>
      <w:r w:rsidR="00D2591B">
        <w:rPr>
          <w:rFonts w:ascii="Times New Roman" w:hAnsi="Times New Roman" w:cs="Times New Roman"/>
          <w:sz w:val="24"/>
          <w:szCs w:val="24"/>
        </w:rPr>
        <w:t xml:space="preserve">e </w:t>
      </w:r>
      <w:r w:rsidR="009E3077">
        <w:rPr>
          <w:rFonts w:ascii="Times New Roman" w:hAnsi="Times New Roman" w:cs="Times New Roman"/>
          <w:sz w:val="24"/>
          <w:szCs w:val="24"/>
        </w:rPr>
        <w:t>Satın Alma ve İkmal</w:t>
      </w:r>
      <w:r w:rsidR="00D2591B">
        <w:rPr>
          <w:rFonts w:ascii="Times New Roman" w:hAnsi="Times New Roman" w:cs="Times New Roman"/>
          <w:sz w:val="24"/>
          <w:szCs w:val="24"/>
        </w:rPr>
        <w:t xml:space="preserve"> Dairesi Başkanlığın</w:t>
      </w:r>
      <w:r w:rsidR="00090D6B">
        <w:rPr>
          <w:rFonts w:ascii="Times New Roman" w:hAnsi="Times New Roman" w:cs="Times New Roman"/>
          <w:sz w:val="24"/>
          <w:szCs w:val="24"/>
        </w:rPr>
        <w:t>da</w:t>
      </w:r>
      <w:r w:rsidR="0059670F">
        <w:rPr>
          <w:rFonts w:ascii="Times New Roman" w:hAnsi="Times New Roman" w:cs="Times New Roman"/>
          <w:sz w:val="24"/>
          <w:szCs w:val="24"/>
        </w:rPr>
        <w:t xml:space="preserve">ki </w:t>
      </w:r>
      <w:r w:rsidR="009E3077">
        <w:rPr>
          <w:rFonts w:ascii="Times New Roman" w:hAnsi="Times New Roman" w:cs="Times New Roman"/>
          <w:sz w:val="24"/>
          <w:szCs w:val="24"/>
        </w:rPr>
        <w:t>Ödenek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077">
        <w:rPr>
          <w:rFonts w:ascii="Times New Roman" w:hAnsi="Times New Roman" w:cs="Times New Roman"/>
          <w:sz w:val="24"/>
          <w:szCs w:val="24"/>
        </w:rPr>
        <w:t>Tahakkuk Şube Müdürlüğü</w:t>
      </w:r>
      <w:r w:rsidR="00D2591B">
        <w:rPr>
          <w:rFonts w:ascii="Times New Roman" w:hAnsi="Times New Roman" w:cs="Times New Roman"/>
          <w:sz w:val="24"/>
          <w:szCs w:val="24"/>
        </w:rPr>
        <w:t xml:space="preserve"> personeli, Taşrada </w:t>
      </w:r>
      <w:r w:rsidR="0059670F">
        <w:rPr>
          <w:rFonts w:ascii="Times New Roman" w:hAnsi="Times New Roman" w:cs="Times New Roman"/>
          <w:sz w:val="24"/>
          <w:szCs w:val="24"/>
        </w:rPr>
        <w:t>Satın A</w:t>
      </w:r>
      <w:r w:rsidR="009E3077">
        <w:rPr>
          <w:rFonts w:ascii="Times New Roman" w:hAnsi="Times New Roman" w:cs="Times New Roman"/>
          <w:sz w:val="24"/>
          <w:szCs w:val="24"/>
        </w:rPr>
        <w:t xml:space="preserve">lma ve İkmal </w:t>
      </w:r>
      <w:r w:rsidR="00D2591B">
        <w:rPr>
          <w:rFonts w:ascii="Times New Roman" w:hAnsi="Times New Roman" w:cs="Times New Roman"/>
          <w:sz w:val="24"/>
          <w:szCs w:val="24"/>
        </w:rPr>
        <w:t xml:space="preserve">Müdürlüğü/Şefliği personeli </w:t>
      </w:r>
      <w:r w:rsidR="008658AC" w:rsidRPr="00805A3F">
        <w:rPr>
          <w:rFonts w:ascii="Times New Roman" w:hAnsi="Times New Roman" w:cs="Times New Roman"/>
          <w:sz w:val="24"/>
          <w:szCs w:val="24"/>
        </w:rPr>
        <w:t>sorumludur.</w:t>
      </w:r>
    </w:p>
    <w:p w:rsidR="00AB1682" w:rsidRDefault="00BB7350" w:rsidP="00BB7350">
      <w:pPr>
        <w:pStyle w:val="AralkYok"/>
        <w:numPr>
          <w:ilvl w:val="0"/>
          <w:numId w:val="3"/>
        </w:numPr>
        <w:jc w:val="both"/>
        <w:rPr>
          <w:rStyle w:val="GvdemetniKaln"/>
          <w:rFonts w:eastAsiaTheme="minorHAnsi"/>
          <w:sz w:val="24"/>
          <w:szCs w:val="24"/>
        </w:rPr>
      </w:pPr>
      <w:r>
        <w:rPr>
          <w:rStyle w:val="GvdemetniKaln"/>
          <w:rFonts w:eastAsiaTheme="minorHAnsi"/>
          <w:sz w:val="24"/>
          <w:szCs w:val="24"/>
        </w:rPr>
        <w:t>TANIM VE KISALTMALAR</w:t>
      </w:r>
      <w:r w:rsidR="00AB1682" w:rsidRPr="00805A3F">
        <w:rPr>
          <w:rStyle w:val="GvdemetniKaln"/>
          <w:rFonts w:eastAsiaTheme="minorHAnsi"/>
          <w:sz w:val="24"/>
          <w:szCs w:val="24"/>
        </w:rPr>
        <w:t xml:space="preserve">   </w:t>
      </w:r>
    </w:p>
    <w:p w:rsidR="00986E35" w:rsidRPr="00004E88" w:rsidRDefault="00986E35" w:rsidP="00986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</w:t>
      </w:r>
      <w:r w:rsidRPr="00986E3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414DE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DHMİ/ DHMİ Genel Müdürlüğü/ Kuruluş</w:t>
      </w:r>
      <w:r w:rsidRPr="00414DEC">
        <w:rPr>
          <w:rFonts w:ascii="Times New Roman" w:eastAsia="Times New Roman" w:hAnsi="Times New Roman" w:cs="Times New Roman"/>
          <w:sz w:val="24"/>
          <w:szCs w:val="24"/>
          <w:lang w:eastAsia="tr-TR"/>
        </w:rPr>
        <w:t>: Devlet Hava Meydanları İşletmesi Genel Müdürlüğünün Merkez Teşkilatı ile Taşra Teşkilatını</w:t>
      </w:r>
      <w:r w:rsidRPr="00004E88">
        <w:rPr>
          <w:rFonts w:ascii="Times New Roman" w:eastAsia="Times New Roman" w:hAnsi="Times New Roman" w:cs="Times New Roman"/>
          <w:sz w:val="30"/>
          <w:szCs w:val="30"/>
          <w:lang w:eastAsia="tr-TR"/>
        </w:rPr>
        <w:t>,</w:t>
      </w:r>
    </w:p>
    <w:p w:rsidR="00986E35" w:rsidRDefault="00986E35" w:rsidP="0098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017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Yüklenici (Tedarikçi):</w:t>
      </w:r>
      <w:r w:rsidRPr="0096017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Kuruluşa mal ve hizmet temin eden firma, kurum, kuruluş ve benzerlerini,</w:t>
      </w:r>
    </w:p>
    <w:p w:rsidR="00723B81" w:rsidRPr="00C42A43" w:rsidRDefault="00723B81" w:rsidP="0098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3B81" w:rsidRPr="00761336" w:rsidRDefault="00723B81" w:rsidP="00986E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613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Tahakkuk Memuru:</w:t>
      </w:r>
      <w:r w:rsidR="00C42A43" w:rsidRPr="0076133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C42A43" w:rsidRPr="00761336">
        <w:rPr>
          <w:rFonts w:ascii="Times New Roman" w:hAnsi="Times New Roman" w:cs="Times New Roman"/>
          <w:sz w:val="24"/>
          <w:szCs w:val="24"/>
          <w:shd w:val="clear" w:color="auto" w:fill="FFFFFF"/>
        </w:rPr>
        <w:t>Gerçekleştirme görevlisi; bir kimsenin ne kadar para ödeyeceğini veya kimseye ne kadar ödeme yapılacağını hesaplamakla görevli memur</w:t>
      </w:r>
      <w:r w:rsidR="007613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793E7F" w:rsidRPr="00761336" w:rsidRDefault="00986E35" w:rsidP="00793E7F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3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34F" w:rsidRDefault="00AE634F" w:rsidP="00BB735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350">
        <w:rPr>
          <w:rFonts w:ascii="Times New Roman" w:hAnsi="Times New Roman" w:cs="Times New Roman"/>
          <w:b/>
          <w:sz w:val="24"/>
          <w:szCs w:val="24"/>
        </w:rPr>
        <w:t>UYGULAMA</w:t>
      </w:r>
      <w:r w:rsidR="00AB1682" w:rsidRPr="00BB7350">
        <w:rPr>
          <w:rFonts w:ascii="Times New Roman" w:hAnsi="Times New Roman" w:cs="Times New Roman"/>
          <w:b/>
          <w:sz w:val="24"/>
          <w:szCs w:val="24"/>
        </w:rPr>
        <w:t xml:space="preserve"> ESASLARI</w:t>
      </w:r>
    </w:p>
    <w:p w:rsidR="0034007D" w:rsidRDefault="0034007D" w:rsidP="0034007D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D06" w:rsidRPr="0034007D" w:rsidRDefault="005E56CF" w:rsidP="0034007D">
      <w:pPr>
        <w:pStyle w:val="ListeParagraf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07D">
        <w:rPr>
          <w:rFonts w:ascii="Times New Roman" w:hAnsi="Times New Roman" w:cs="Times New Roman"/>
          <w:b/>
          <w:sz w:val="24"/>
          <w:szCs w:val="24"/>
        </w:rPr>
        <w:t>Faturaların Talebe Bağlanması</w:t>
      </w:r>
    </w:p>
    <w:p w:rsidR="00024C54" w:rsidRDefault="004C1D06" w:rsidP="00024C5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C54">
        <w:rPr>
          <w:rFonts w:ascii="Times New Roman" w:hAnsi="Times New Roman" w:cs="Times New Roman"/>
          <w:sz w:val="24"/>
          <w:szCs w:val="24"/>
        </w:rPr>
        <w:t xml:space="preserve">Satın alma işlemi </w:t>
      </w:r>
      <w:r w:rsidR="00024C54">
        <w:rPr>
          <w:rFonts w:ascii="Times New Roman" w:hAnsi="Times New Roman" w:cs="Times New Roman"/>
          <w:sz w:val="24"/>
          <w:szCs w:val="24"/>
        </w:rPr>
        <w:t xml:space="preserve">gerçekleştirilen </w:t>
      </w:r>
      <w:r w:rsidRPr="00024C54">
        <w:rPr>
          <w:rFonts w:ascii="Times New Roman" w:hAnsi="Times New Roman" w:cs="Times New Roman"/>
          <w:sz w:val="24"/>
          <w:szCs w:val="24"/>
        </w:rPr>
        <w:t>mal ve hizmet</w:t>
      </w:r>
      <w:r w:rsidR="00895CBD">
        <w:rPr>
          <w:rFonts w:ascii="Times New Roman" w:hAnsi="Times New Roman" w:cs="Times New Roman"/>
          <w:sz w:val="24"/>
          <w:szCs w:val="24"/>
        </w:rPr>
        <w:t>lere</w:t>
      </w:r>
      <w:r w:rsidRPr="00024C54">
        <w:rPr>
          <w:rFonts w:ascii="Times New Roman" w:hAnsi="Times New Roman" w:cs="Times New Roman"/>
          <w:sz w:val="24"/>
          <w:szCs w:val="24"/>
        </w:rPr>
        <w:t xml:space="preserve"> ait faturalar</w:t>
      </w:r>
      <w:r w:rsidR="00783642" w:rsidRPr="00024C54">
        <w:rPr>
          <w:rFonts w:ascii="Times New Roman" w:hAnsi="Times New Roman" w:cs="Times New Roman"/>
          <w:sz w:val="24"/>
          <w:szCs w:val="24"/>
        </w:rPr>
        <w:t xml:space="preserve">ın girişi Satın Alma ve İkmal Birimlerince </w:t>
      </w:r>
      <w:r w:rsidR="00024C54">
        <w:rPr>
          <w:rFonts w:ascii="Times New Roman" w:hAnsi="Times New Roman" w:cs="Times New Roman"/>
          <w:sz w:val="24"/>
          <w:szCs w:val="24"/>
        </w:rPr>
        <w:t xml:space="preserve">yapılır. </w:t>
      </w:r>
    </w:p>
    <w:p w:rsidR="00024C54" w:rsidRPr="00024C54" w:rsidRDefault="00024C54" w:rsidP="00024C54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24C54" w:rsidRDefault="00024C54" w:rsidP="00024C5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C54">
        <w:rPr>
          <w:rFonts w:ascii="Times New Roman" w:hAnsi="Times New Roman" w:cs="Times New Roman"/>
          <w:sz w:val="24"/>
          <w:szCs w:val="24"/>
        </w:rPr>
        <w:t>Avans kullanılarak gerçekleştirilen işlerde faturaların girişi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4C54">
        <w:rPr>
          <w:rFonts w:ascii="Times New Roman" w:hAnsi="Times New Roman" w:cs="Times New Roman"/>
          <w:sz w:val="24"/>
          <w:szCs w:val="24"/>
        </w:rPr>
        <w:t xml:space="preserve"> üzerine avans açılan  </w:t>
      </w:r>
      <w:r w:rsidR="004F124B">
        <w:rPr>
          <w:rFonts w:ascii="Times New Roman" w:hAnsi="Times New Roman" w:cs="Times New Roman"/>
          <w:sz w:val="24"/>
          <w:szCs w:val="24"/>
        </w:rPr>
        <w:t>personelce</w:t>
      </w:r>
      <w:r w:rsidRPr="00024C54">
        <w:rPr>
          <w:rFonts w:ascii="Times New Roman" w:hAnsi="Times New Roman" w:cs="Times New Roman"/>
          <w:sz w:val="24"/>
          <w:szCs w:val="24"/>
        </w:rPr>
        <w:t xml:space="preserve"> yapılır.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C54" w:rsidRDefault="00024C54" w:rsidP="00024C54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95CBD" w:rsidRPr="00895CBD" w:rsidRDefault="00895CBD" w:rsidP="00C16456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CBD">
        <w:rPr>
          <w:rFonts w:ascii="Times New Roman" w:hAnsi="Times New Roman" w:cs="Times New Roman"/>
          <w:sz w:val="24"/>
          <w:szCs w:val="24"/>
        </w:rPr>
        <w:t>Sözleşmesi imzalandıktan sonra onlıne sistemden “hizmet birimine gönder “ işlemi ile ilgili talepçi üniteye gönderilen hizmet alımlarında fatura girişi Talepçi ünitelerce yapılacaktır.</w:t>
      </w:r>
    </w:p>
    <w:p w:rsidR="00024C54" w:rsidRPr="00024C54" w:rsidRDefault="003B6AC1" w:rsidP="00024C54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C54" w:rsidRDefault="003B6AC1" w:rsidP="00024C5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C54">
        <w:rPr>
          <w:rFonts w:ascii="Times New Roman" w:hAnsi="Times New Roman" w:cs="Times New Roman"/>
          <w:sz w:val="24"/>
          <w:szCs w:val="24"/>
        </w:rPr>
        <w:t>Başkanlık</w:t>
      </w:r>
      <w:r>
        <w:rPr>
          <w:rFonts w:ascii="Times New Roman" w:hAnsi="Times New Roman" w:cs="Times New Roman"/>
          <w:sz w:val="24"/>
          <w:szCs w:val="24"/>
        </w:rPr>
        <w:t xml:space="preserve">ların yetki limiti çerçevesinde yaptıkları </w:t>
      </w:r>
      <w:r w:rsidR="00024C54">
        <w:rPr>
          <w:rFonts w:ascii="Times New Roman" w:hAnsi="Times New Roman" w:cs="Times New Roman"/>
          <w:sz w:val="24"/>
          <w:szCs w:val="24"/>
        </w:rPr>
        <w:t>mal/hizmet</w:t>
      </w:r>
      <w:r w:rsidR="00723B81">
        <w:rPr>
          <w:rFonts w:ascii="Times New Roman" w:hAnsi="Times New Roman" w:cs="Times New Roman"/>
          <w:sz w:val="24"/>
          <w:szCs w:val="24"/>
        </w:rPr>
        <w:t xml:space="preserve"> alımlarına ait</w:t>
      </w:r>
      <w:r w:rsidR="00024C54">
        <w:rPr>
          <w:rFonts w:ascii="Times New Roman" w:hAnsi="Times New Roman" w:cs="Times New Roman"/>
          <w:sz w:val="24"/>
          <w:szCs w:val="24"/>
        </w:rPr>
        <w:t xml:space="preserve"> faturalar ilgili Başkanlık tarafından talebe bağlanır. </w:t>
      </w:r>
    </w:p>
    <w:p w:rsidR="00A6188B" w:rsidRPr="00A6188B" w:rsidRDefault="00A6188B" w:rsidP="00A6188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6188B" w:rsidRPr="003842D1" w:rsidRDefault="00A6188B" w:rsidP="00024C5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Cari ve bu mahiyette olan gider ve ödemelerde tahakkuklara ilişkin düzenleme </w:t>
      </w:r>
      <w:r w:rsidRPr="003842D1">
        <w:rPr>
          <w:rFonts w:ascii="Times New Roman" w:hAnsi="Times New Roman" w:cs="Times New Roman"/>
          <w:sz w:val="24"/>
          <w:szCs w:val="24"/>
        </w:rPr>
        <w:t>Bütçe Uygulama talimatı</w:t>
      </w:r>
      <w:r w:rsidR="003842D1" w:rsidRPr="003842D1">
        <w:rPr>
          <w:rFonts w:ascii="Times New Roman" w:hAnsi="Times New Roman" w:cs="Times New Roman"/>
          <w:sz w:val="24"/>
          <w:szCs w:val="24"/>
        </w:rPr>
        <w:t>nda</w:t>
      </w:r>
      <w:r w:rsidRPr="003842D1">
        <w:rPr>
          <w:rFonts w:ascii="Times New Roman" w:hAnsi="Times New Roman" w:cs="Times New Roman"/>
          <w:sz w:val="24"/>
          <w:szCs w:val="24"/>
        </w:rPr>
        <w:t xml:space="preserve"> açıklanmaktadır.</w:t>
      </w:r>
    </w:p>
    <w:p w:rsidR="00A6188B" w:rsidRPr="00A6188B" w:rsidRDefault="00A6188B" w:rsidP="00A6188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6188B" w:rsidRDefault="00A6188B" w:rsidP="00024C5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Haberleşme ve Sigorta hizmet alımlarına ait aynı fatura</w:t>
      </w:r>
      <w:r w:rsidR="00D27D3C">
        <w:rPr>
          <w:rFonts w:ascii="Times New Roman" w:hAnsi="Times New Roman" w:cs="Times New Roman"/>
          <w:sz w:val="24"/>
          <w:szCs w:val="24"/>
        </w:rPr>
        <w:t xml:space="preserve"> dönem</w:t>
      </w:r>
      <w:r>
        <w:rPr>
          <w:rFonts w:ascii="Times New Roman" w:hAnsi="Times New Roman" w:cs="Times New Roman"/>
          <w:sz w:val="24"/>
          <w:szCs w:val="24"/>
        </w:rPr>
        <w:t xml:space="preserve">inde aynı hizmet sağlayıcısının aynı hizmet türü için </w:t>
      </w:r>
      <w:r w:rsidR="004E52BD">
        <w:rPr>
          <w:rFonts w:ascii="Times New Roman" w:hAnsi="Times New Roman" w:cs="Times New Roman"/>
          <w:sz w:val="24"/>
          <w:szCs w:val="24"/>
        </w:rPr>
        <w:t>düzenlediği</w:t>
      </w:r>
      <w:r w:rsidR="00D27D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sadece hizmet numaraları farklı olan çok sayıdaki faturanın </w:t>
      </w:r>
      <w:r w:rsidR="00D27D3C">
        <w:rPr>
          <w:rFonts w:ascii="Times New Roman" w:hAnsi="Times New Roman" w:cs="Times New Roman"/>
          <w:sz w:val="24"/>
          <w:szCs w:val="24"/>
        </w:rPr>
        <w:t xml:space="preserve">veya sigorta poliçesinin </w:t>
      </w:r>
      <w:r>
        <w:rPr>
          <w:rFonts w:ascii="Times New Roman" w:hAnsi="Times New Roman" w:cs="Times New Roman"/>
          <w:sz w:val="24"/>
          <w:szCs w:val="24"/>
        </w:rPr>
        <w:t xml:space="preserve">aynı anda sisteme girilerek </w:t>
      </w:r>
      <w:r w:rsidR="004E52BD">
        <w:rPr>
          <w:rFonts w:ascii="Times New Roman" w:hAnsi="Times New Roman" w:cs="Times New Roman"/>
          <w:sz w:val="24"/>
          <w:szCs w:val="24"/>
        </w:rPr>
        <w:t xml:space="preserve">tek tahakkukla </w:t>
      </w:r>
      <w:r>
        <w:rPr>
          <w:rFonts w:ascii="Times New Roman" w:hAnsi="Times New Roman" w:cs="Times New Roman"/>
          <w:sz w:val="24"/>
          <w:szCs w:val="24"/>
        </w:rPr>
        <w:t xml:space="preserve">ödenebilmesi için çoklu fatura ekranı kullanılır. </w:t>
      </w:r>
    </w:p>
    <w:p w:rsidR="00A6188B" w:rsidRPr="00A6188B" w:rsidRDefault="00A6188B" w:rsidP="00A6188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27D3C" w:rsidRDefault="00D27D3C" w:rsidP="00024C5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Haberleşme Hizmetinden yararlanan her birim yılbaşında </w:t>
      </w:r>
      <w:r w:rsidR="00A6188B">
        <w:rPr>
          <w:rFonts w:ascii="Times New Roman" w:hAnsi="Times New Roman" w:cs="Times New Roman"/>
          <w:sz w:val="24"/>
          <w:szCs w:val="24"/>
        </w:rPr>
        <w:t>Haberleş</w:t>
      </w:r>
      <w:r>
        <w:rPr>
          <w:rFonts w:ascii="Times New Roman" w:hAnsi="Times New Roman" w:cs="Times New Roman"/>
          <w:sz w:val="24"/>
          <w:szCs w:val="24"/>
        </w:rPr>
        <w:t>me talebi oluşturacaktır. H</w:t>
      </w:r>
      <w:r w:rsidR="00A6188B">
        <w:rPr>
          <w:rFonts w:ascii="Times New Roman" w:hAnsi="Times New Roman" w:cs="Times New Roman"/>
          <w:sz w:val="24"/>
          <w:szCs w:val="24"/>
        </w:rPr>
        <w:t>er ay e</w:t>
      </w:r>
      <w:r w:rsidR="003842D1">
        <w:rPr>
          <w:rFonts w:ascii="Times New Roman" w:hAnsi="Times New Roman" w:cs="Times New Roman"/>
          <w:sz w:val="24"/>
          <w:szCs w:val="24"/>
        </w:rPr>
        <w:t>-</w:t>
      </w:r>
      <w:r w:rsidR="00A6188B">
        <w:rPr>
          <w:rFonts w:ascii="Times New Roman" w:hAnsi="Times New Roman" w:cs="Times New Roman"/>
          <w:sz w:val="24"/>
          <w:szCs w:val="24"/>
        </w:rPr>
        <w:t xml:space="preserve">fatura ekranından kendi birimine ilişkin faturaları </w:t>
      </w:r>
      <w:r w:rsidR="004E52BD">
        <w:rPr>
          <w:rFonts w:ascii="Times New Roman" w:hAnsi="Times New Roman" w:cs="Times New Roman"/>
          <w:sz w:val="24"/>
          <w:szCs w:val="24"/>
        </w:rPr>
        <w:t xml:space="preserve">talebe ait cari yılı da </w:t>
      </w:r>
      <w:r w:rsidR="00A6188B">
        <w:rPr>
          <w:rFonts w:ascii="Times New Roman" w:hAnsi="Times New Roman" w:cs="Times New Roman"/>
          <w:sz w:val="24"/>
          <w:szCs w:val="24"/>
        </w:rPr>
        <w:t>seçerek aktar butonu</w:t>
      </w:r>
      <w:r>
        <w:rPr>
          <w:rFonts w:ascii="Times New Roman" w:hAnsi="Times New Roman" w:cs="Times New Roman"/>
          <w:sz w:val="24"/>
          <w:szCs w:val="24"/>
        </w:rPr>
        <w:t xml:space="preserve"> vasıtasıyla faturaları talebine bağlayacaktır. Mal ve hizmet gider dağılım ile Özel İleti</w:t>
      </w:r>
      <w:r w:rsidR="004E52BD">
        <w:rPr>
          <w:rFonts w:ascii="Times New Roman" w:hAnsi="Times New Roman" w:cs="Times New Roman"/>
          <w:sz w:val="24"/>
          <w:szCs w:val="24"/>
        </w:rPr>
        <w:t>şim gider dağılım cetvelleri hazırlandığında</w:t>
      </w:r>
      <w:r>
        <w:rPr>
          <w:rFonts w:ascii="Times New Roman" w:hAnsi="Times New Roman" w:cs="Times New Roman"/>
          <w:sz w:val="24"/>
          <w:szCs w:val="24"/>
        </w:rPr>
        <w:t xml:space="preserve"> oluşturulan belgeler DHMİ onlıne sistemden </w:t>
      </w:r>
      <w:r w:rsidR="00872EB4">
        <w:rPr>
          <w:rFonts w:ascii="Times New Roman" w:hAnsi="Times New Roman" w:cs="Times New Roman"/>
          <w:sz w:val="24"/>
          <w:szCs w:val="24"/>
        </w:rPr>
        <w:t>Satın Alma ve İkmal Birimi ekranlarına düşer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0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D3C" w:rsidRPr="00D27D3C" w:rsidRDefault="00D27D3C" w:rsidP="00D27D3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4007D" w:rsidRDefault="0034007D" w:rsidP="0034007D">
      <w:pPr>
        <w:pStyle w:val="ListeParagraf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Tahakkuka Esas Evraklar</w:t>
      </w:r>
    </w:p>
    <w:p w:rsidR="0034007D" w:rsidRDefault="0034007D" w:rsidP="0034007D">
      <w:pPr>
        <w:pStyle w:val="ListeParagraf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07D" w:rsidRPr="0034007D" w:rsidRDefault="0034007D" w:rsidP="0034007D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07D">
        <w:rPr>
          <w:rFonts w:ascii="Times New Roman" w:hAnsi="Times New Roman" w:cs="Times New Roman"/>
          <w:sz w:val="24"/>
          <w:szCs w:val="24"/>
        </w:rPr>
        <w:t>Harcama Yetkilisinin imzaladığı Onay Belgesi</w:t>
      </w:r>
      <w:r w:rsidR="00490944">
        <w:rPr>
          <w:rFonts w:ascii="Times New Roman" w:hAnsi="Times New Roman" w:cs="Times New Roman"/>
          <w:sz w:val="24"/>
          <w:szCs w:val="24"/>
        </w:rPr>
        <w:t xml:space="preserve"> (Bütçe uygulama Talimatı</w:t>
      </w:r>
      <w:r w:rsidR="00076FFD">
        <w:rPr>
          <w:rFonts w:ascii="Times New Roman" w:hAnsi="Times New Roman" w:cs="Times New Roman"/>
          <w:sz w:val="24"/>
          <w:szCs w:val="24"/>
        </w:rPr>
        <w:t xml:space="preserve">nın ilgili </w:t>
      </w:r>
      <w:r w:rsidR="00490944">
        <w:rPr>
          <w:rFonts w:ascii="Times New Roman" w:hAnsi="Times New Roman" w:cs="Times New Roman"/>
          <w:sz w:val="24"/>
          <w:szCs w:val="24"/>
        </w:rPr>
        <w:t>madde</w:t>
      </w:r>
      <w:r w:rsidR="00076FFD">
        <w:rPr>
          <w:rFonts w:ascii="Times New Roman" w:hAnsi="Times New Roman" w:cs="Times New Roman"/>
          <w:sz w:val="24"/>
          <w:szCs w:val="24"/>
        </w:rPr>
        <w:t xml:space="preserve">sinde </w:t>
      </w:r>
      <w:r w:rsidR="00490944">
        <w:rPr>
          <w:rFonts w:ascii="Times New Roman" w:hAnsi="Times New Roman" w:cs="Times New Roman"/>
          <w:sz w:val="24"/>
          <w:szCs w:val="24"/>
        </w:rPr>
        <w:t>belirtilen işler için aranmayacaktır.)</w:t>
      </w:r>
    </w:p>
    <w:p w:rsidR="0034007D" w:rsidRPr="0034007D" w:rsidRDefault="0034007D" w:rsidP="0034007D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4007D" w:rsidRDefault="0034007D" w:rsidP="0034007D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07D">
        <w:rPr>
          <w:rFonts w:ascii="Times New Roman" w:hAnsi="Times New Roman" w:cs="Times New Roman"/>
          <w:sz w:val="24"/>
          <w:szCs w:val="24"/>
        </w:rPr>
        <w:t xml:space="preserve">Talebe bağlanmış fatura </w:t>
      </w:r>
      <w:r w:rsidR="00872EB4">
        <w:rPr>
          <w:rFonts w:ascii="Times New Roman" w:hAnsi="Times New Roman" w:cs="Times New Roman"/>
          <w:sz w:val="24"/>
          <w:szCs w:val="24"/>
        </w:rPr>
        <w:t>/sigorta poliçesi</w:t>
      </w:r>
      <w:r w:rsidRPr="0034007D">
        <w:rPr>
          <w:rFonts w:ascii="Times New Roman" w:hAnsi="Times New Roman" w:cs="Times New Roman"/>
          <w:sz w:val="24"/>
          <w:szCs w:val="24"/>
        </w:rPr>
        <w:t>(</w:t>
      </w:r>
      <w:r w:rsidR="00076FFD">
        <w:rPr>
          <w:rFonts w:ascii="Times New Roman" w:hAnsi="Times New Roman" w:cs="Times New Roman"/>
          <w:sz w:val="24"/>
          <w:szCs w:val="24"/>
        </w:rPr>
        <w:t xml:space="preserve">Bu talimatın </w:t>
      </w:r>
      <w:r w:rsidRPr="0034007D">
        <w:rPr>
          <w:rFonts w:ascii="Times New Roman" w:hAnsi="Times New Roman" w:cs="Times New Roman"/>
          <w:sz w:val="24"/>
          <w:szCs w:val="24"/>
        </w:rPr>
        <w:t>5.1’de belirtildiği şekilde)</w:t>
      </w:r>
    </w:p>
    <w:p w:rsidR="0034007D" w:rsidRPr="0034007D" w:rsidRDefault="0034007D" w:rsidP="0034007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A5EF6" w:rsidRPr="00A81429" w:rsidRDefault="00A81429" w:rsidP="00F11F4A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429">
        <w:rPr>
          <w:rFonts w:ascii="Times New Roman" w:hAnsi="Times New Roman" w:cs="Times New Roman"/>
          <w:sz w:val="24"/>
          <w:szCs w:val="24"/>
        </w:rPr>
        <w:t xml:space="preserve"> </w:t>
      </w:r>
      <w:r w:rsidR="00EA5EF6" w:rsidRPr="00A81429">
        <w:rPr>
          <w:rFonts w:ascii="Times New Roman" w:hAnsi="Times New Roman" w:cs="Times New Roman"/>
          <w:sz w:val="24"/>
          <w:szCs w:val="24"/>
        </w:rPr>
        <w:t>Mal Alımlarında Depo Giriş Belgesi</w:t>
      </w:r>
      <w:r w:rsidR="00486A50" w:rsidRPr="00A81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EF6" w:rsidRPr="00EA5EF6" w:rsidRDefault="00EA5EF6" w:rsidP="00EA5EF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A5EF6" w:rsidRDefault="00EA5EF6" w:rsidP="00486A50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Hizmet Alımlarında Gider Dağılımı </w:t>
      </w:r>
      <w:r w:rsidR="00486A50">
        <w:rPr>
          <w:rFonts w:ascii="Times New Roman" w:hAnsi="Times New Roman" w:cs="Times New Roman"/>
          <w:sz w:val="24"/>
          <w:szCs w:val="24"/>
        </w:rPr>
        <w:t>(</w:t>
      </w:r>
      <w:r w:rsidR="00486A50" w:rsidRPr="00486A50">
        <w:rPr>
          <w:rFonts w:ascii="Times New Roman" w:hAnsi="Times New Roman" w:cs="Times New Roman"/>
          <w:sz w:val="24"/>
          <w:szCs w:val="24"/>
        </w:rPr>
        <w:t>Gider dağılım cetveli ve Proje İl gider dağılım kaydı talepçi ünite tarafından yapılır.</w:t>
      </w:r>
      <w:r w:rsidR="00486A50">
        <w:rPr>
          <w:rFonts w:ascii="Times New Roman" w:hAnsi="Times New Roman" w:cs="Times New Roman"/>
          <w:sz w:val="24"/>
          <w:szCs w:val="24"/>
        </w:rPr>
        <w:t>)</w:t>
      </w:r>
      <w:r w:rsidR="00486A50" w:rsidRPr="00486A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1429" w:rsidRPr="00A81429" w:rsidRDefault="00A81429" w:rsidP="00A8142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90944" w:rsidRDefault="00A81429" w:rsidP="0049094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Doğrudan Alımlarda Mal/Hizmet Uygunluk Raporu </w:t>
      </w:r>
      <w:r w:rsidR="00490944">
        <w:rPr>
          <w:rFonts w:ascii="Times New Roman" w:hAnsi="Times New Roman" w:cs="Times New Roman"/>
          <w:sz w:val="24"/>
          <w:szCs w:val="24"/>
        </w:rPr>
        <w:t xml:space="preserve">(Bütçe </w:t>
      </w:r>
      <w:r w:rsidR="00076FFD">
        <w:rPr>
          <w:rFonts w:ascii="Times New Roman" w:hAnsi="Times New Roman" w:cs="Times New Roman"/>
          <w:sz w:val="24"/>
          <w:szCs w:val="24"/>
        </w:rPr>
        <w:t>U</w:t>
      </w:r>
      <w:r w:rsidR="00490944">
        <w:rPr>
          <w:rFonts w:ascii="Times New Roman" w:hAnsi="Times New Roman" w:cs="Times New Roman"/>
          <w:sz w:val="24"/>
          <w:szCs w:val="24"/>
        </w:rPr>
        <w:t>ygulama Talimatı</w:t>
      </w:r>
      <w:r w:rsidR="00076FFD">
        <w:rPr>
          <w:rFonts w:ascii="Times New Roman" w:hAnsi="Times New Roman" w:cs="Times New Roman"/>
          <w:sz w:val="24"/>
          <w:szCs w:val="24"/>
        </w:rPr>
        <w:t>nın ilgili</w:t>
      </w:r>
      <w:r w:rsidR="00490944">
        <w:rPr>
          <w:rFonts w:ascii="Times New Roman" w:hAnsi="Times New Roman" w:cs="Times New Roman"/>
          <w:sz w:val="24"/>
          <w:szCs w:val="24"/>
        </w:rPr>
        <w:t xml:space="preserve"> madde</w:t>
      </w:r>
      <w:r w:rsidR="00076FFD">
        <w:rPr>
          <w:rFonts w:ascii="Times New Roman" w:hAnsi="Times New Roman" w:cs="Times New Roman"/>
          <w:sz w:val="24"/>
          <w:szCs w:val="24"/>
        </w:rPr>
        <w:t xml:space="preserve">sinde </w:t>
      </w:r>
      <w:r w:rsidR="00490944">
        <w:rPr>
          <w:rFonts w:ascii="Times New Roman" w:hAnsi="Times New Roman" w:cs="Times New Roman"/>
          <w:sz w:val="24"/>
          <w:szCs w:val="24"/>
        </w:rPr>
        <w:t>belirtilen işler için aranmayacaktır.)</w:t>
      </w:r>
    </w:p>
    <w:p w:rsidR="00872EB4" w:rsidRPr="00872EB4" w:rsidRDefault="00872EB4" w:rsidP="00872EB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17074" w:rsidRDefault="00872EB4" w:rsidP="002850E9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EB4">
        <w:rPr>
          <w:rFonts w:ascii="Times New Roman" w:hAnsi="Times New Roman" w:cs="Times New Roman"/>
          <w:sz w:val="24"/>
          <w:szCs w:val="24"/>
        </w:rPr>
        <w:t>Çoklu Faturalarda Gider dağılım, özel iletişim gider dağılım, çoklu fatura listesi</w:t>
      </w:r>
      <w:r w:rsidR="00B17074">
        <w:rPr>
          <w:rFonts w:ascii="Times New Roman" w:hAnsi="Times New Roman" w:cs="Times New Roman"/>
          <w:sz w:val="24"/>
          <w:szCs w:val="24"/>
        </w:rPr>
        <w:t>,</w:t>
      </w:r>
    </w:p>
    <w:p w:rsidR="00B17074" w:rsidRPr="00B17074" w:rsidRDefault="00B17074" w:rsidP="00B1707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72EB4" w:rsidRPr="00EF27B1" w:rsidRDefault="00B17074" w:rsidP="002850E9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7B1">
        <w:rPr>
          <w:rFonts w:ascii="Times New Roman" w:hAnsi="Times New Roman" w:cs="Times New Roman"/>
          <w:sz w:val="24"/>
          <w:szCs w:val="24"/>
        </w:rPr>
        <w:t>İnşaat ve Emlak Birimlerince yürütülen yapım işlerinde Hakediş raporu,</w:t>
      </w:r>
      <w:r w:rsidR="00872EB4" w:rsidRPr="00EF2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284" w:rsidRPr="00490944" w:rsidRDefault="00A65284" w:rsidP="00490944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65284" w:rsidRDefault="00A65284" w:rsidP="00A65284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Sözleşmeli işlerde</w:t>
      </w:r>
    </w:p>
    <w:p w:rsidR="00A65284" w:rsidRDefault="00A65284" w:rsidP="00A65284">
      <w:pPr>
        <w:pStyle w:val="ListeParagraf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284">
        <w:rPr>
          <w:rFonts w:ascii="Times New Roman" w:hAnsi="Times New Roman" w:cs="Times New Roman"/>
          <w:sz w:val="24"/>
          <w:szCs w:val="24"/>
        </w:rPr>
        <w:t>Sözleşme</w:t>
      </w:r>
      <w:r w:rsidR="004B0E59">
        <w:rPr>
          <w:rFonts w:ascii="Times New Roman" w:hAnsi="Times New Roman" w:cs="Times New Roman"/>
          <w:sz w:val="24"/>
          <w:szCs w:val="24"/>
        </w:rPr>
        <w:t xml:space="preserve"> aslı veya aslı gibidir yapılmış sureti </w:t>
      </w:r>
    </w:p>
    <w:p w:rsidR="00A65284" w:rsidRDefault="00A65284" w:rsidP="00A65284">
      <w:pPr>
        <w:pStyle w:val="ListeParagraf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A65284">
        <w:rPr>
          <w:rFonts w:ascii="Times New Roman" w:hAnsi="Times New Roman" w:cs="Times New Roman"/>
          <w:sz w:val="24"/>
          <w:szCs w:val="24"/>
        </w:rPr>
        <w:t>özleşmede belirtilen ödemeye esas evraklar</w:t>
      </w:r>
    </w:p>
    <w:p w:rsidR="005D41ED" w:rsidRDefault="00A65284" w:rsidP="00A65284">
      <w:pPr>
        <w:pStyle w:val="ListeParagraf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1ED">
        <w:rPr>
          <w:rFonts w:ascii="Times New Roman" w:hAnsi="Times New Roman" w:cs="Times New Roman"/>
          <w:sz w:val="24"/>
          <w:szCs w:val="24"/>
        </w:rPr>
        <w:t>Teminat</w:t>
      </w:r>
      <w:r w:rsidR="00076FFD">
        <w:rPr>
          <w:rFonts w:ascii="Times New Roman" w:hAnsi="Times New Roman" w:cs="Times New Roman"/>
          <w:sz w:val="24"/>
          <w:szCs w:val="24"/>
        </w:rPr>
        <w:t xml:space="preserve"> (Ödemeden mahsup edilmeyecekse)</w:t>
      </w:r>
    </w:p>
    <w:p w:rsidR="00A65284" w:rsidRDefault="005D41ED" w:rsidP="00A65284">
      <w:pPr>
        <w:pStyle w:val="ListeParagraf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Karar pulu ve sözleşme damga vergisi dekontları</w:t>
      </w:r>
    </w:p>
    <w:p w:rsidR="00986E35" w:rsidRDefault="005D41ED" w:rsidP="00986E35">
      <w:pPr>
        <w:pStyle w:val="ListeParagraf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Cezai</w:t>
      </w:r>
      <w:r w:rsidR="00076FFD">
        <w:rPr>
          <w:rFonts w:ascii="Times New Roman" w:hAnsi="Times New Roman" w:cs="Times New Roman"/>
          <w:sz w:val="24"/>
          <w:szCs w:val="24"/>
        </w:rPr>
        <w:t>/nefaset</w:t>
      </w:r>
      <w:r>
        <w:rPr>
          <w:rFonts w:ascii="Times New Roman" w:hAnsi="Times New Roman" w:cs="Times New Roman"/>
          <w:sz w:val="24"/>
          <w:szCs w:val="24"/>
        </w:rPr>
        <w:t xml:space="preserve"> durum varsa buna ilişkin onay (ceza miktarını veya muafiyetini belirten)</w:t>
      </w:r>
    </w:p>
    <w:p w:rsidR="00A65284" w:rsidRDefault="00986E35" w:rsidP="00986E35">
      <w:pPr>
        <w:pStyle w:val="ListeParagraf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E35">
        <w:rPr>
          <w:rFonts w:ascii="Times New Roman" w:hAnsi="Times New Roman" w:cs="Times New Roman"/>
          <w:sz w:val="24"/>
          <w:szCs w:val="24"/>
        </w:rPr>
        <w:t xml:space="preserve"> Muayene Kabul </w:t>
      </w:r>
      <w:r w:rsidR="000C2F08">
        <w:rPr>
          <w:rFonts w:ascii="Times New Roman" w:hAnsi="Times New Roman" w:cs="Times New Roman"/>
          <w:sz w:val="24"/>
          <w:szCs w:val="24"/>
        </w:rPr>
        <w:t xml:space="preserve">Heyet </w:t>
      </w:r>
      <w:r w:rsidR="00076FFD">
        <w:rPr>
          <w:rFonts w:ascii="Times New Roman" w:hAnsi="Times New Roman" w:cs="Times New Roman"/>
          <w:sz w:val="24"/>
          <w:szCs w:val="24"/>
        </w:rPr>
        <w:t xml:space="preserve">oluşturma </w:t>
      </w:r>
      <w:r w:rsidR="00A81429">
        <w:rPr>
          <w:rFonts w:ascii="Times New Roman" w:hAnsi="Times New Roman" w:cs="Times New Roman"/>
          <w:sz w:val="24"/>
          <w:szCs w:val="24"/>
        </w:rPr>
        <w:t xml:space="preserve">Onayı </w:t>
      </w:r>
    </w:p>
    <w:p w:rsidR="00A81429" w:rsidRDefault="00A81429" w:rsidP="00A81429">
      <w:pPr>
        <w:pStyle w:val="ListeParagraf"/>
        <w:numPr>
          <w:ilvl w:val="3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E35">
        <w:rPr>
          <w:rFonts w:ascii="Times New Roman" w:hAnsi="Times New Roman" w:cs="Times New Roman"/>
          <w:sz w:val="24"/>
          <w:szCs w:val="24"/>
        </w:rPr>
        <w:t xml:space="preserve">Muayene Kabul </w:t>
      </w:r>
      <w:r>
        <w:rPr>
          <w:rFonts w:ascii="Times New Roman" w:hAnsi="Times New Roman" w:cs="Times New Roman"/>
          <w:sz w:val="24"/>
          <w:szCs w:val="24"/>
        </w:rPr>
        <w:t xml:space="preserve">Heyet </w:t>
      </w:r>
      <w:r w:rsidRPr="00986E35">
        <w:rPr>
          <w:rFonts w:ascii="Times New Roman" w:hAnsi="Times New Roman" w:cs="Times New Roman"/>
          <w:sz w:val="24"/>
          <w:szCs w:val="24"/>
        </w:rPr>
        <w:t>Raporu</w:t>
      </w:r>
    </w:p>
    <w:p w:rsidR="00266E2E" w:rsidRPr="00266E2E" w:rsidRDefault="00076FFD" w:rsidP="00266E2E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Avans onayı</w:t>
      </w:r>
    </w:p>
    <w:p w:rsidR="00A81429" w:rsidRDefault="00A81429" w:rsidP="00A81429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0B34" w:rsidRDefault="00310B34" w:rsidP="00A81429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1D06" w:rsidRPr="00024C54" w:rsidRDefault="004C1D06" w:rsidP="0034007D">
      <w:pPr>
        <w:pStyle w:val="ListeParagraf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C54">
        <w:rPr>
          <w:rFonts w:ascii="Times New Roman" w:hAnsi="Times New Roman" w:cs="Times New Roman"/>
          <w:b/>
          <w:sz w:val="24"/>
          <w:szCs w:val="24"/>
        </w:rPr>
        <w:lastRenderedPageBreak/>
        <w:t>Tahakkuk Birimlerinin yapacağı iş ve işlemler</w:t>
      </w:r>
    </w:p>
    <w:p w:rsidR="004B7656" w:rsidRPr="00C53FE8" w:rsidRDefault="00266E2E" w:rsidP="004F6159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3FE8">
        <w:rPr>
          <w:rFonts w:ascii="Times New Roman" w:hAnsi="Times New Roman" w:cs="Times New Roman"/>
          <w:sz w:val="24"/>
          <w:szCs w:val="24"/>
        </w:rPr>
        <w:t xml:space="preserve">Tahakkuk evrakları DHMİ onlıne sisteminden evrak modülü kullanılarak </w:t>
      </w:r>
      <w:r w:rsidR="00214010" w:rsidRPr="00C53FE8">
        <w:rPr>
          <w:rFonts w:ascii="Times New Roman" w:hAnsi="Times New Roman" w:cs="Times New Roman"/>
          <w:sz w:val="24"/>
          <w:szCs w:val="24"/>
        </w:rPr>
        <w:t xml:space="preserve">elektronik ortamda </w:t>
      </w:r>
      <w:r w:rsidRPr="00C53FE8">
        <w:rPr>
          <w:rFonts w:ascii="Times New Roman" w:hAnsi="Times New Roman" w:cs="Times New Roman"/>
          <w:sz w:val="24"/>
          <w:szCs w:val="24"/>
        </w:rPr>
        <w:t xml:space="preserve">gönderilecektir. </w:t>
      </w:r>
      <w:r w:rsidR="00B608BB" w:rsidRPr="00C53FE8">
        <w:rPr>
          <w:rFonts w:ascii="Times New Roman" w:hAnsi="Times New Roman" w:cs="Times New Roman"/>
          <w:sz w:val="24"/>
          <w:szCs w:val="24"/>
        </w:rPr>
        <w:t xml:space="preserve">(Evrak havuzundan) </w:t>
      </w:r>
    </w:p>
    <w:p w:rsidR="00323D01" w:rsidRPr="00EF27B1" w:rsidRDefault="00B608BB" w:rsidP="009B3210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8BB">
        <w:rPr>
          <w:rFonts w:ascii="Times New Roman" w:hAnsi="Times New Roman" w:cs="Times New Roman"/>
          <w:sz w:val="24"/>
          <w:szCs w:val="24"/>
        </w:rPr>
        <w:t xml:space="preserve"> </w:t>
      </w:r>
      <w:r w:rsidR="00323D01" w:rsidRPr="00B608BB">
        <w:rPr>
          <w:rFonts w:ascii="Times New Roman" w:hAnsi="Times New Roman" w:cs="Times New Roman"/>
          <w:sz w:val="24"/>
          <w:szCs w:val="24"/>
        </w:rPr>
        <w:t xml:space="preserve">Fatura girişi yapan birim Faturaların yasal mevzuata uygun olarak düzenlendiğini </w:t>
      </w:r>
      <w:r w:rsidR="00323D01" w:rsidRPr="00EF27B1">
        <w:rPr>
          <w:rFonts w:ascii="Times New Roman" w:hAnsi="Times New Roman" w:cs="Times New Roman"/>
          <w:sz w:val="24"/>
          <w:szCs w:val="24"/>
        </w:rPr>
        <w:t>kontrol edecek, (</w:t>
      </w:r>
      <w:r w:rsidR="00C53FE8" w:rsidRPr="00EF27B1">
        <w:rPr>
          <w:rFonts w:ascii="Times New Roman" w:hAnsi="Times New Roman" w:cs="Times New Roman"/>
          <w:sz w:val="24"/>
          <w:szCs w:val="24"/>
        </w:rPr>
        <w:t xml:space="preserve">Fatura tutarı, varsa KDV Tebliğine uygun olarak KDV tevkifatı yapılıp yapılmadığı, </w:t>
      </w:r>
      <w:r w:rsidR="00323D01" w:rsidRPr="00EF27B1">
        <w:rPr>
          <w:rFonts w:ascii="Times New Roman" w:hAnsi="Times New Roman" w:cs="Times New Roman"/>
          <w:sz w:val="24"/>
          <w:szCs w:val="24"/>
        </w:rPr>
        <w:t>Firma ünvanları, adresleri, vergi nu</w:t>
      </w:r>
      <w:r w:rsidR="004B7656" w:rsidRPr="00EF27B1">
        <w:rPr>
          <w:rFonts w:ascii="Times New Roman" w:hAnsi="Times New Roman" w:cs="Times New Roman"/>
          <w:sz w:val="24"/>
          <w:szCs w:val="24"/>
        </w:rPr>
        <w:t>maraları, vergi dairesi adları v</w:t>
      </w:r>
      <w:r w:rsidR="00323D01" w:rsidRPr="00EF27B1">
        <w:rPr>
          <w:rFonts w:ascii="Times New Roman" w:hAnsi="Times New Roman" w:cs="Times New Roman"/>
          <w:sz w:val="24"/>
          <w:szCs w:val="24"/>
        </w:rPr>
        <w:t>.b.)</w:t>
      </w:r>
    </w:p>
    <w:p w:rsidR="00323D01" w:rsidRPr="00323D01" w:rsidRDefault="00323D01" w:rsidP="00866B09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Tahakkuk evraklarında firma </w:t>
      </w:r>
      <w:r w:rsidRPr="00323D01">
        <w:rPr>
          <w:rFonts w:ascii="Times New Roman" w:hAnsi="Times New Roman" w:cs="Times New Roman"/>
          <w:sz w:val="24"/>
          <w:szCs w:val="24"/>
        </w:rPr>
        <w:t>hesap numaraları</w:t>
      </w:r>
      <w:r>
        <w:rPr>
          <w:rFonts w:ascii="Times New Roman" w:hAnsi="Times New Roman" w:cs="Times New Roman"/>
          <w:sz w:val="24"/>
          <w:szCs w:val="24"/>
        </w:rPr>
        <w:t>/IBAN numaraları mutlaka belirtil</w:t>
      </w:r>
      <w:r w:rsidR="00A26F62">
        <w:rPr>
          <w:rFonts w:ascii="Times New Roman" w:hAnsi="Times New Roman" w:cs="Times New Roman"/>
          <w:sz w:val="24"/>
          <w:szCs w:val="24"/>
        </w:rPr>
        <w:t xml:space="preserve">miş olacaktır. (IBAN numaraları DHMİ Onlıne sistemden Satın Alma Modülü, Alıcı Satıcı tanımlama ekranı kullanılarak giriş yapılacaktır.)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010" w:rsidRDefault="00214010" w:rsidP="00A81429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Eşleşmeyen veya aralarında çelişki olan evraklar ilgili üniteye iade edilir. </w:t>
      </w:r>
    </w:p>
    <w:p w:rsidR="00A26F62" w:rsidRDefault="00A26F62" w:rsidP="00A81429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Ödemeye esas tahakkuk evraklarının Bütçe Uygulama Talimatının </w:t>
      </w:r>
      <w:r w:rsidR="004B7656">
        <w:rPr>
          <w:rFonts w:ascii="Times New Roman" w:hAnsi="Times New Roman" w:cs="Times New Roman"/>
          <w:sz w:val="24"/>
          <w:szCs w:val="24"/>
        </w:rPr>
        <w:t xml:space="preserve">ilgili maddesinde belirtildiği üzere </w:t>
      </w:r>
      <w:r>
        <w:rPr>
          <w:rFonts w:ascii="Times New Roman" w:hAnsi="Times New Roman" w:cs="Times New Roman"/>
          <w:sz w:val="24"/>
          <w:szCs w:val="24"/>
        </w:rPr>
        <w:t>fatura tarihinden itibaren 5 gün içerisinde tahakkuk birimine gönderilmiş olması zorunludur.</w:t>
      </w:r>
    </w:p>
    <w:p w:rsidR="00A26F62" w:rsidRDefault="00AA07EC" w:rsidP="00A81429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DHMİ Onlıne Sistemde Satın Alma İşlemleri Malzeme M ekranından Tahakkuk Fişi oluşturulur.</w:t>
      </w:r>
    </w:p>
    <w:p w:rsidR="00AA07EC" w:rsidRDefault="00AA07EC" w:rsidP="00A81429">
      <w:pPr>
        <w:pStyle w:val="ListeParagraf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Merkezde Satın Alma ve İkmal Dairesi </w:t>
      </w:r>
      <w:r w:rsidR="00B608B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aş</w:t>
      </w:r>
      <w:r w:rsidR="00B608BB">
        <w:rPr>
          <w:rFonts w:ascii="Times New Roman" w:hAnsi="Times New Roman" w:cs="Times New Roman"/>
          <w:sz w:val="24"/>
          <w:szCs w:val="24"/>
        </w:rPr>
        <w:t>kanı/Taşrada Satın Alma Müdürü/Ş</w:t>
      </w:r>
      <w:r>
        <w:rPr>
          <w:rFonts w:ascii="Times New Roman" w:hAnsi="Times New Roman" w:cs="Times New Roman"/>
          <w:sz w:val="24"/>
          <w:szCs w:val="24"/>
        </w:rPr>
        <w:t xml:space="preserve">efi tarafından imzalanan tahakkuk fişi </w:t>
      </w:r>
      <w:r w:rsidR="00F222BF">
        <w:rPr>
          <w:rFonts w:ascii="Times New Roman" w:hAnsi="Times New Roman" w:cs="Times New Roman"/>
          <w:sz w:val="24"/>
          <w:szCs w:val="24"/>
        </w:rPr>
        <w:t xml:space="preserve">evrak modülünden Merkezde Mali İşler Dairesi Başkanlığına, Taşrada </w:t>
      </w:r>
      <w:r w:rsidR="004B7656">
        <w:rPr>
          <w:rFonts w:ascii="Times New Roman" w:hAnsi="Times New Roman" w:cs="Times New Roman"/>
          <w:sz w:val="24"/>
          <w:szCs w:val="24"/>
        </w:rPr>
        <w:t>M</w:t>
      </w:r>
      <w:r w:rsidR="00F222BF">
        <w:rPr>
          <w:rFonts w:ascii="Times New Roman" w:hAnsi="Times New Roman" w:cs="Times New Roman"/>
          <w:sz w:val="24"/>
          <w:szCs w:val="24"/>
        </w:rPr>
        <w:t xml:space="preserve">ali İşler Müdürlüğü/Şefliğine gönderilir. </w:t>
      </w:r>
    </w:p>
    <w:p w:rsidR="00AB1682" w:rsidRDefault="00D160FE" w:rsidP="00D160FE">
      <w:pPr>
        <w:pStyle w:val="AralkYok"/>
        <w:numPr>
          <w:ilvl w:val="0"/>
          <w:numId w:val="3"/>
        </w:numPr>
        <w:jc w:val="both"/>
        <w:rPr>
          <w:rStyle w:val="GvdemetniKaln"/>
          <w:rFonts w:eastAsiaTheme="minorHAnsi"/>
          <w:sz w:val="24"/>
          <w:szCs w:val="24"/>
        </w:rPr>
      </w:pPr>
      <w:r>
        <w:rPr>
          <w:rStyle w:val="GvdemetniKaln"/>
          <w:rFonts w:eastAsiaTheme="minorHAnsi"/>
          <w:sz w:val="24"/>
          <w:szCs w:val="24"/>
        </w:rPr>
        <w:t xml:space="preserve">KAYITLAR/FORMLAR ve İLGİLİ </w:t>
      </w:r>
      <w:r w:rsidR="008465B8">
        <w:rPr>
          <w:rStyle w:val="GvdemetniKaln"/>
          <w:rFonts w:eastAsiaTheme="minorHAnsi"/>
          <w:sz w:val="24"/>
          <w:szCs w:val="24"/>
        </w:rPr>
        <w:t>DOKÜMANLAR</w:t>
      </w:r>
    </w:p>
    <w:p w:rsidR="00D160FE" w:rsidRDefault="00D160FE" w:rsidP="00D160FE">
      <w:pPr>
        <w:pStyle w:val="AralkYok"/>
        <w:jc w:val="both"/>
        <w:rPr>
          <w:rStyle w:val="GvdemetniKaln"/>
          <w:rFonts w:eastAsiaTheme="minorHAnsi"/>
          <w:sz w:val="24"/>
          <w:szCs w:val="24"/>
        </w:rPr>
      </w:pPr>
    </w:p>
    <w:p w:rsidR="00F222BF" w:rsidRDefault="00A81429" w:rsidP="00F222BF">
      <w:pPr>
        <w:pStyle w:val="AralkYok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DHMİ onlıne Sistem</w:t>
      </w:r>
      <w:r w:rsidR="00F222BF">
        <w:rPr>
          <w:rFonts w:ascii="Times New Roman" w:hAnsi="Times New Roman" w:cs="Times New Roman"/>
          <w:sz w:val="24"/>
          <w:szCs w:val="24"/>
        </w:rPr>
        <w:t>i evrak modülü</w:t>
      </w:r>
    </w:p>
    <w:p w:rsidR="00F222BF" w:rsidRDefault="00F222BF" w:rsidP="00AB1682">
      <w:pPr>
        <w:pStyle w:val="AralkYok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Onlıne sistemde bulunan</w:t>
      </w:r>
      <w:r w:rsidR="00A81429">
        <w:rPr>
          <w:rFonts w:ascii="Times New Roman" w:hAnsi="Times New Roman" w:cs="Times New Roman"/>
          <w:sz w:val="24"/>
          <w:szCs w:val="24"/>
        </w:rPr>
        <w:t xml:space="preserve"> Tahakkuk Fişi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A3F" w:rsidRPr="00F222BF" w:rsidRDefault="00266E2E" w:rsidP="00AB1682">
      <w:pPr>
        <w:pStyle w:val="AralkYok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222BF">
        <w:rPr>
          <w:rFonts w:ascii="Times New Roman" w:hAnsi="Times New Roman" w:cs="Times New Roman"/>
          <w:sz w:val="24"/>
          <w:szCs w:val="24"/>
        </w:rPr>
        <w:t>Bütçe Uygulama Talimatı</w:t>
      </w:r>
      <w:r w:rsidR="00805A3F" w:rsidRPr="00F222BF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805A3F" w:rsidRPr="00F222B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A3" w:rsidRDefault="00F058A3" w:rsidP="003F7A33">
      <w:pPr>
        <w:spacing w:after="0" w:line="240" w:lineRule="auto"/>
      </w:pPr>
      <w:r>
        <w:separator/>
      </w:r>
    </w:p>
  </w:endnote>
  <w:endnote w:type="continuationSeparator" w:id="0">
    <w:p w:rsidR="00F058A3" w:rsidRDefault="00F058A3" w:rsidP="003F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A3" w:rsidRDefault="00F058A3" w:rsidP="003F7A33">
      <w:pPr>
        <w:spacing w:after="0" w:line="240" w:lineRule="auto"/>
      </w:pPr>
      <w:r>
        <w:separator/>
      </w:r>
    </w:p>
  </w:footnote>
  <w:footnote w:type="continuationSeparator" w:id="0">
    <w:p w:rsidR="00F058A3" w:rsidRDefault="00F058A3" w:rsidP="003F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5"/>
      <w:gridCol w:w="1524"/>
      <w:gridCol w:w="1722"/>
      <w:gridCol w:w="1651"/>
      <w:gridCol w:w="1442"/>
      <w:gridCol w:w="1666"/>
    </w:tblGrid>
    <w:tr w:rsidR="003F7A33" w:rsidRPr="002C22CC" w:rsidTr="003F7A33">
      <w:trPr>
        <w:cantSplit/>
        <w:trHeight w:val="889"/>
      </w:trPr>
      <w:tc>
        <w:tcPr>
          <w:tcW w:w="1635" w:type="dxa"/>
          <w:hideMark/>
        </w:tcPr>
        <w:p w:rsidR="003F7A33" w:rsidRPr="002C22CC" w:rsidRDefault="003F7A33" w:rsidP="003F7A33">
          <w:pPr>
            <w:pStyle w:val="stBilgi"/>
            <w:ind w:left="172"/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491CBCA" wp14:editId="4843E7D0">
                <wp:simplePos x="0" y="0"/>
                <wp:positionH relativeFrom="column">
                  <wp:posOffset>113030</wp:posOffset>
                </wp:positionH>
                <wp:positionV relativeFrom="paragraph">
                  <wp:posOffset>59690</wp:posOffset>
                </wp:positionV>
                <wp:extent cx="469265" cy="444500"/>
                <wp:effectExtent l="0" t="0" r="698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44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39" w:type="dxa"/>
          <w:gridSpan w:val="4"/>
          <w:vAlign w:val="center"/>
          <w:hideMark/>
        </w:tcPr>
        <w:p w:rsidR="003F7A33" w:rsidRPr="00F41F95" w:rsidRDefault="00986E35" w:rsidP="00986E35">
          <w:pPr>
            <w:pStyle w:val="Balk1"/>
            <w:jc w:val="center"/>
            <w:rPr>
              <w:sz w:val="24"/>
            </w:rPr>
          </w:pPr>
          <w:r>
            <w:rPr>
              <w:rStyle w:val="GvdemetniKaln"/>
              <w:sz w:val="24"/>
            </w:rPr>
            <w:t xml:space="preserve">MAL VE HİZMET ALIMLARI </w:t>
          </w:r>
          <w:r w:rsidR="00CC2D10">
            <w:rPr>
              <w:rStyle w:val="GvdemetniKaln"/>
              <w:sz w:val="24"/>
            </w:rPr>
            <w:t xml:space="preserve">ile YAPIM İŞLERİ </w:t>
          </w:r>
          <w:r>
            <w:rPr>
              <w:rStyle w:val="GvdemetniKaln"/>
              <w:sz w:val="24"/>
            </w:rPr>
            <w:t>TAHAKKUK T</w:t>
          </w:r>
          <w:r w:rsidR="003F7A33" w:rsidRPr="00F41F95">
            <w:rPr>
              <w:rStyle w:val="GvdemetniKaln"/>
              <w:sz w:val="24"/>
            </w:rPr>
            <w:t>ALİMATI</w:t>
          </w:r>
        </w:p>
      </w:tc>
      <w:tc>
        <w:tcPr>
          <w:tcW w:w="1666" w:type="dxa"/>
          <w:hideMark/>
        </w:tcPr>
        <w:p w:rsidR="003F7A33" w:rsidRPr="002C22CC" w:rsidRDefault="003F7A33" w:rsidP="003F7A33">
          <w:pPr>
            <w:pStyle w:val="stBilgi"/>
            <w:spacing w:after="120"/>
            <w:rPr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7020F1D3" wp14:editId="3AEA0EA2">
                <wp:simplePos x="0" y="0"/>
                <wp:positionH relativeFrom="column">
                  <wp:posOffset>-13335</wp:posOffset>
                </wp:positionH>
                <wp:positionV relativeFrom="paragraph">
                  <wp:posOffset>65405</wp:posOffset>
                </wp:positionV>
                <wp:extent cx="765175" cy="427355"/>
                <wp:effectExtent l="0" t="0" r="0" b="0"/>
                <wp:wrapNone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C22CC">
            <w:t xml:space="preserve">  </w:t>
          </w:r>
        </w:p>
        <w:p w:rsidR="003F7A33" w:rsidRPr="002C22CC" w:rsidRDefault="003F7A33" w:rsidP="003F7A33">
          <w:pPr>
            <w:jc w:val="center"/>
          </w:pPr>
        </w:p>
      </w:tc>
    </w:tr>
    <w:tr w:rsidR="003F7A33" w:rsidRPr="009F4896" w:rsidTr="003F7A33">
      <w:trPr>
        <w:trHeight w:val="408"/>
      </w:trPr>
      <w:tc>
        <w:tcPr>
          <w:tcW w:w="3159" w:type="dxa"/>
          <w:gridSpan w:val="2"/>
          <w:vAlign w:val="center"/>
          <w:hideMark/>
        </w:tcPr>
        <w:p w:rsidR="003F7A33" w:rsidRPr="009E6031" w:rsidRDefault="00FC5331" w:rsidP="009E6031">
          <w:pPr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  <w:lang w:eastAsia="tr-TR"/>
            </w:rPr>
            <w:t>KYS.GNL.SAT.TLM.005</w:t>
          </w:r>
          <w:r w:rsidR="009E6031" w:rsidRPr="009E6031">
            <w:rPr>
              <w:rFonts w:ascii="Times New Roman" w:hAnsi="Times New Roman" w:cs="Times New Roman"/>
              <w:color w:val="FF0000"/>
              <w:sz w:val="20"/>
              <w:szCs w:val="20"/>
            </w:rPr>
            <w:t xml:space="preserve"> </w:t>
          </w:r>
        </w:p>
      </w:tc>
      <w:tc>
        <w:tcPr>
          <w:tcW w:w="1722" w:type="dxa"/>
          <w:vAlign w:val="center"/>
          <w:hideMark/>
        </w:tcPr>
        <w:p w:rsidR="003F7A33" w:rsidRPr="009E6031" w:rsidRDefault="003F7A33" w:rsidP="003F7A33">
          <w:pPr>
            <w:pStyle w:val="stBilgi"/>
            <w:jc w:val="center"/>
            <w:rPr>
              <w:rStyle w:val="Gvdemetni"/>
              <w:rFonts w:eastAsiaTheme="minorHAnsi"/>
              <w:sz w:val="20"/>
              <w:szCs w:val="20"/>
            </w:rPr>
          </w:pPr>
          <w:r w:rsidRPr="009E6031">
            <w:rPr>
              <w:rStyle w:val="Gvdemetni"/>
              <w:rFonts w:eastAsiaTheme="minorHAnsi"/>
              <w:sz w:val="20"/>
              <w:szCs w:val="20"/>
            </w:rPr>
            <w:t>Yürürlük Tarihi :</w:t>
          </w:r>
        </w:p>
        <w:p w:rsidR="003F7A33" w:rsidRPr="009E6031" w:rsidRDefault="00F12F66" w:rsidP="00F12F66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Style w:val="Gvdemetni"/>
              <w:rFonts w:eastAsiaTheme="minorHAnsi"/>
              <w:sz w:val="20"/>
              <w:szCs w:val="20"/>
            </w:rPr>
            <w:t>28</w:t>
          </w:r>
          <w:r w:rsidR="003F7A33" w:rsidRPr="009E6031">
            <w:rPr>
              <w:rStyle w:val="Gvdemetni"/>
              <w:rFonts w:eastAsiaTheme="minorHAnsi"/>
              <w:sz w:val="20"/>
              <w:szCs w:val="20"/>
            </w:rPr>
            <w:t>/</w:t>
          </w:r>
          <w:r>
            <w:rPr>
              <w:rStyle w:val="Gvdemetni"/>
              <w:rFonts w:eastAsiaTheme="minorHAnsi"/>
              <w:sz w:val="20"/>
              <w:szCs w:val="20"/>
            </w:rPr>
            <w:t>02</w:t>
          </w:r>
          <w:r w:rsidR="003F7A33" w:rsidRPr="009E6031">
            <w:rPr>
              <w:rStyle w:val="Gvdemetni"/>
              <w:rFonts w:eastAsiaTheme="minorHAnsi"/>
              <w:sz w:val="20"/>
              <w:szCs w:val="20"/>
            </w:rPr>
            <w:t xml:space="preserve"> /</w:t>
          </w:r>
          <w:r>
            <w:rPr>
              <w:rStyle w:val="Gvdemetni"/>
              <w:rFonts w:eastAsiaTheme="minorHAnsi"/>
              <w:sz w:val="20"/>
              <w:szCs w:val="20"/>
            </w:rPr>
            <w:t>2020</w:t>
          </w:r>
        </w:p>
      </w:tc>
      <w:tc>
        <w:tcPr>
          <w:tcW w:w="1651" w:type="dxa"/>
          <w:vAlign w:val="center"/>
          <w:hideMark/>
        </w:tcPr>
        <w:p w:rsidR="003F7A33" w:rsidRDefault="003F7A33" w:rsidP="003F7A33">
          <w:pPr>
            <w:pStyle w:val="stBilgi"/>
            <w:jc w:val="center"/>
            <w:rPr>
              <w:rStyle w:val="Gvdemetnitalik"/>
              <w:rFonts w:eastAsiaTheme="minorHAnsi"/>
              <w:i w:val="0"/>
              <w:sz w:val="20"/>
              <w:szCs w:val="20"/>
            </w:rPr>
          </w:pPr>
          <w:r w:rsidRPr="009F4896">
            <w:rPr>
              <w:rStyle w:val="Gvdemetni"/>
              <w:rFonts w:eastAsiaTheme="minorHAnsi"/>
              <w:sz w:val="20"/>
              <w:szCs w:val="20"/>
            </w:rPr>
            <w:t>Değ</w:t>
          </w:r>
          <w:r>
            <w:rPr>
              <w:rStyle w:val="Gvdemetni"/>
              <w:rFonts w:eastAsiaTheme="minorHAnsi"/>
              <w:sz w:val="20"/>
              <w:szCs w:val="20"/>
            </w:rPr>
            <w:t xml:space="preserve">işiklik </w:t>
          </w:r>
          <w:r w:rsidRPr="009F4896">
            <w:rPr>
              <w:rStyle w:val="Gvdemetni"/>
              <w:rFonts w:eastAsiaTheme="minorHAnsi"/>
              <w:sz w:val="20"/>
              <w:szCs w:val="20"/>
            </w:rPr>
            <w:t>Tarihi</w:t>
          </w:r>
          <w:r w:rsidRPr="009F4896">
            <w:rPr>
              <w:rStyle w:val="Gvdemetnitalik"/>
              <w:rFonts w:eastAsiaTheme="minorHAnsi"/>
              <w:sz w:val="20"/>
              <w:szCs w:val="20"/>
            </w:rPr>
            <w:t xml:space="preserve"> :</w:t>
          </w:r>
        </w:p>
        <w:p w:rsidR="003F7A33" w:rsidRPr="009F4896" w:rsidRDefault="003F7A33" w:rsidP="003F7A33">
          <w:pPr>
            <w:pStyle w:val="stBilgi"/>
            <w:jc w:val="center"/>
            <w:rPr>
              <w:i/>
              <w:iCs/>
            </w:rPr>
          </w:pPr>
          <w:r>
            <w:rPr>
              <w:rStyle w:val="Gvdemetnitalik"/>
              <w:rFonts w:eastAsiaTheme="minorHAnsi"/>
              <w:sz w:val="20"/>
              <w:szCs w:val="20"/>
            </w:rPr>
            <w:t xml:space="preserve">… </w:t>
          </w:r>
          <w:r w:rsidRPr="009F4896">
            <w:rPr>
              <w:rStyle w:val="Gvdemetnitalik"/>
              <w:rFonts w:eastAsiaTheme="minorHAnsi"/>
              <w:sz w:val="20"/>
              <w:szCs w:val="20"/>
            </w:rPr>
            <w:t>/</w:t>
          </w:r>
          <w:r>
            <w:rPr>
              <w:rStyle w:val="Gvdemetnitalik"/>
              <w:rFonts w:eastAsiaTheme="minorHAnsi"/>
              <w:sz w:val="20"/>
              <w:szCs w:val="20"/>
            </w:rPr>
            <w:t xml:space="preserve"> … </w:t>
          </w:r>
          <w:r w:rsidRPr="009F4896">
            <w:rPr>
              <w:rStyle w:val="Gvdemetnitalik"/>
              <w:rFonts w:eastAsiaTheme="minorHAnsi"/>
              <w:sz w:val="20"/>
              <w:szCs w:val="20"/>
            </w:rPr>
            <w:t>/</w:t>
          </w:r>
          <w:r>
            <w:rPr>
              <w:rStyle w:val="Gvdemetnitalik"/>
              <w:rFonts w:eastAsiaTheme="minorHAnsi"/>
              <w:sz w:val="20"/>
              <w:szCs w:val="20"/>
            </w:rPr>
            <w:t xml:space="preserve"> ……</w:t>
          </w:r>
        </w:p>
      </w:tc>
      <w:tc>
        <w:tcPr>
          <w:tcW w:w="1442" w:type="dxa"/>
          <w:vAlign w:val="center"/>
          <w:hideMark/>
        </w:tcPr>
        <w:p w:rsidR="003F7A33" w:rsidRDefault="003F7A33" w:rsidP="003F7A33">
          <w:pPr>
            <w:pStyle w:val="stBilgi"/>
            <w:jc w:val="center"/>
            <w:rPr>
              <w:rStyle w:val="Gvdemetni"/>
              <w:rFonts w:eastAsiaTheme="minorHAnsi"/>
              <w:sz w:val="20"/>
              <w:szCs w:val="20"/>
            </w:rPr>
          </w:pPr>
          <w:r w:rsidRPr="009F4896">
            <w:rPr>
              <w:rStyle w:val="Gvdemetni"/>
              <w:rFonts w:eastAsiaTheme="minorHAnsi"/>
              <w:sz w:val="20"/>
              <w:szCs w:val="20"/>
            </w:rPr>
            <w:t>Değ</w:t>
          </w:r>
          <w:r>
            <w:rPr>
              <w:rStyle w:val="Gvdemetni"/>
              <w:rFonts w:eastAsiaTheme="minorHAnsi"/>
              <w:sz w:val="20"/>
              <w:szCs w:val="20"/>
            </w:rPr>
            <w:t xml:space="preserve">işiklik </w:t>
          </w:r>
          <w:r w:rsidRPr="009F4896">
            <w:rPr>
              <w:rStyle w:val="Gvdemetni"/>
              <w:rFonts w:eastAsiaTheme="minorHAnsi"/>
              <w:sz w:val="20"/>
              <w:szCs w:val="20"/>
            </w:rPr>
            <w:t>No</w:t>
          </w:r>
          <w:r>
            <w:rPr>
              <w:rStyle w:val="Gvdemetni"/>
              <w:rFonts w:eastAsiaTheme="minorHAnsi"/>
              <w:sz w:val="20"/>
              <w:szCs w:val="20"/>
            </w:rPr>
            <w:t xml:space="preserve"> </w:t>
          </w:r>
          <w:r w:rsidRPr="009F4896">
            <w:rPr>
              <w:rStyle w:val="Gvdemetni"/>
              <w:rFonts w:eastAsiaTheme="minorHAnsi"/>
              <w:sz w:val="20"/>
              <w:szCs w:val="20"/>
            </w:rPr>
            <w:t>:</w:t>
          </w:r>
        </w:p>
        <w:p w:rsidR="003F7A33" w:rsidRPr="009F4896" w:rsidRDefault="003F7A33" w:rsidP="003F7A33">
          <w:pPr>
            <w:pStyle w:val="stBilgi"/>
            <w:jc w:val="center"/>
          </w:pPr>
          <w:r>
            <w:rPr>
              <w:rStyle w:val="Gvdemetnitalik"/>
              <w:rFonts w:eastAsiaTheme="minorHAnsi"/>
              <w:sz w:val="20"/>
              <w:szCs w:val="20"/>
            </w:rPr>
            <w:t>…</w:t>
          </w:r>
        </w:p>
      </w:tc>
      <w:tc>
        <w:tcPr>
          <w:tcW w:w="1666" w:type="dxa"/>
          <w:vAlign w:val="center"/>
          <w:hideMark/>
        </w:tcPr>
        <w:p w:rsidR="003F7A33" w:rsidRPr="00B22E46" w:rsidRDefault="003F7A33" w:rsidP="003F7A33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B22E46">
            <w:rPr>
              <w:rFonts w:ascii="Times New Roman" w:hAnsi="Times New Roman" w:cs="Times New Roman"/>
              <w:sz w:val="20"/>
              <w:szCs w:val="20"/>
            </w:rPr>
            <w:t>S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ayfa </w: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t>No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10B34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instrText xml:space="preserve"> NUMPAGES  </w:instrTex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10B34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 w:rsidRPr="00B22E4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:rsidR="003F7A33" w:rsidRDefault="003F7A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655E"/>
    <w:multiLevelType w:val="multilevel"/>
    <w:tmpl w:val="90F22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B51531"/>
    <w:multiLevelType w:val="hybridMultilevel"/>
    <w:tmpl w:val="E38AB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F65B1"/>
    <w:multiLevelType w:val="hybridMultilevel"/>
    <w:tmpl w:val="66984C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33"/>
    <w:rsid w:val="00024C54"/>
    <w:rsid w:val="00054886"/>
    <w:rsid w:val="00076FFD"/>
    <w:rsid w:val="000800E3"/>
    <w:rsid w:val="00090D6B"/>
    <w:rsid w:val="000C2F08"/>
    <w:rsid w:val="001113C6"/>
    <w:rsid w:val="00161BB5"/>
    <w:rsid w:val="00197213"/>
    <w:rsid w:val="001C73B8"/>
    <w:rsid w:val="001D710E"/>
    <w:rsid w:val="001D73E9"/>
    <w:rsid w:val="0020362D"/>
    <w:rsid w:val="00214010"/>
    <w:rsid w:val="0021760A"/>
    <w:rsid w:val="00252824"/>
    <w:rsid w:val="00257A6F"/>
    <w:rsid w:val="00266E2E"/>
    <w:rsid w:val="00310B34"/>
    <w:rsid w:val="00314D8D"/>
    <w:rsid w:val="00320C83"/>
    <w:rsid w:val="00323D01"/>
    <w:rsid w:val="0034007D"/>
    <w:rsid w:val="003842D1"/>
    <w:rsid w:val="003B6AC1"/>
    <w:rsid w:val="003F7A33"/>
    <w:rsid w:val="004008DA"/>
    <w:rsid w:val="00434376"/>
    <w:rsid w:val="00486A50"/>
    <w:rsid w:val="00487894"/>
    <w:rsid w:val="00490944"/>
    <w:rsid w:val="004B0E59"/>
    <w:rsid w:val="004B66B3"/>
    <w:rsid w:val="004B7656"/>
    <w:rsid w:val="004C1D06"/>
    <w:rsid w:val="004D2A5B"/>
    <w:rsid w:val="004E52BD"/>
    <w:rsid w:val="004F124B"/>
    <w:rsid w:val="005228D2"/>
    <w:rsid w:val="00565C77"/>
    <w:rsid w:val="0059670F"/>
    <w:rsid w:val="005D41ED"/>
    <w:rsid w:val="005E1AED"/>
    <w:rsid w:val="005E56CF"/>
    <w:rsid w:val="005E78C7"/>
    <w:rsid w:val="00605DFB"/>
    <w:rsid w:val="006A77A7"/>
    <w:rsid w:val="006B0D47"/>
    <w:rsid w:val="006B24DB"/>
    <w:rsid w:val="006E335B"/>
    <w:rsid w:val="0071275A"/>
    <w:rsid w:val="00723B81"/>
    <w:rsid w:val="00745DBE"/>
    <w:rsid w:val="007516C2"/>
    <w:rsid w:val="00752A8B"/>
    <w:rsid w:val="00761336"/>
    <w:rsid w:val="007676A0"/>
    <w:rsid w:val="00783642"/>
    <w:rsid w:val="00793E7F"/>
    <w:rsid w:val="007B349D"/>
    <w:rsid w:val="007E748F"/>
    <w:rsid w:val="007F17D2"/>
    <w:rsid w:val="00803B46"/>
    <w:rsid w:val="00805A3F"/>
    <w:rsid w:val="008465B8"/>
    <w:rsid w:val="00852FF7"/>
    <w:rsid w:val="00856C4F"/>
    <w:rsid w:val="008658AC"/>
    <w:rsid w:val="00872EB4"/>
    <w:rsid w:val="00895CBD"/>
    <w:rsid w:val="008A101F"/>
    <w:rsid w:val="008A6B13"/>
    <w:rsid w:val="00986E35"/>
    <w:rsid w:val="0099798C"/>
    <w:rsid w:val="009A3606"/>
    <w:rsid w:val="009A4C8F"/>
    <w:rsid w:val="009E1B46"/>
    <w:rsid w:val="009E3077"/>
    <w:rsid w:val="009E6031"/>
    <w:rsid w:val="00A26F62"/>
    <w:rsid w:val="00A6188B"/>
    <w:rsid w:val="00A65284"/>
    <w:rsid w:val="00A81429"/>
    <w:rsid w:val="00A870ED"/>
    <w:rsid w:val="00A96E84"/>
    <w:rsid w:val="00AA07EC"/>
    <w:rsid w:val="00AA1350"/>
    <w:rsid w:val="00AB1682"/>
    <w:rsid w:val="00AE634F"/>
    <w:rsid w:val="00B17074"/>
    <w:rsid w:val="00B57446"/>
    <w:rsid w:val="00B608BB"/>
    <w:rsid w:val="00B75731"/>
    <w:rsid w:val="00B832C2"/>
    <w:rsid w:val="00B83C5A"/>
    <w:rsid w:val="00B843B2"/>
    <w:rsid w:val="00B97F0F"/>
    <w:rsid w:val="00BB633B"/>
    <w:rsid w:val="00BB7350"/>
    <w:rsid w:val="00BF35A2"/>
    <w:rsid w:val="00C244A7"/>
    <w:rsid w:val="00C42A43"/>
    <w:rsid w:val="00C43D7B"/>
    <w:rsid w:val="00C53FE8"/>
    <w:rsid w:val="00CA249E"/>
    <w:rsid w:val="00CB3BAA"/>
    <w:rsid w:val="00CC2D10"/>
    <w:rsid w:val="00CE06EE"/>
    <w:rsid w:val="00CE38C6"/>
    <w:rsid w:val="00CF1819"/>
    <w:rsid w:val="00D05300"/>
    <w:rsid w:val="00D160FE"/>
    <w:rsid w:val="00D2591B"/>
    <w:rsid w:val="00D27D3C"/>
    <w:rsid w:val="00D352C1"/>
    <w:rsid w:val="00D9341C"/>
    <w:rsid w:val="00DB6230"/>
    <w:rsid w:val="00DC7BF0"/>
    <w:rsid w:val="00DD40C5"/>
    <w:rsid w:val="00E25B3A"/>
    <w:rsid w:val="00E3076C"/>
    <w:rsid w:val="00E350FB"/>
    <w:rsid w:val="00E803F3"/>
    <w:rsid w:val="00E95E1D"/>
    <w:rsid w:val="00EA5EF6"/>
    <w:rsid w:val="00EB0E07"/>
    <w:rsid w:val="00EB3CD0"/>
    <w:rsid w:val="00EB3DD1"/>
    <w:rsid w:val="00EC3E1A"/>
    <w:rsid w:val="00EF27B1"/>
    <w:rsid w:val="00EF6931"/>
    <w:rsid w:val="00F058A3"/>
    <w:rsid w:val="00F12F66"/>
    <w:rsid w:val="00F222BF"/>
    <w:rsid w:val="00F24DDF"/>
    <w:rsid w:val="00F33BDD"/>
    <w:rsid w:val="00F35E04"/>
    <w:rsid w:val="00FA6F70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F5806"/>
  <w15:chartTrackingRefBased/>
  <w15:docId w15:val="{38AACAB1-00BF-4E62-8705-F5B55147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F7A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16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F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F7A33"/>
  </w:style>
  <w:style w:type="paragraph" w:styleId="AltBilgi">
    <w:name w:val="footer"/>
    <w:basedOn w:val="Normal"/>
    <w:link w:val="AltBilgiChar"/>
    <w:uiPriority w:val="99"/>
    <w:unhideWhenUsed/>
    <w:rsid w:val="003F7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7A33"/>
  </w:style>
  <w:style w:type="character" w:customStyle="1" w:styleId="Balk1Char">
    <w:name w:val="Başlık 1 Char"/>
    <w:basedOn w:val="VarsaylanParagrafYazTipi"/>
    <w:link w:val="Balk1"/>
    <w:rsid w:val="003F7A33"/>
    <w:rPr>
      <w:rFonts w:ascii="Times New Roman" w:eastAsia="Times New Roman" w:hAnsi="Times New Roman" w:cs="Times New Roman"/>
      <w:sz w:val="160"/>
      <w:szCs w:val="20"/>
      <w:lang w:eastAsia="tr-TR"/>
    </w:rPr>
  </w:style>
  <w:style w:type="character" w:customStyle="1" w:styleId="Gvdemetnitalik">
    <w:name w:val="Gövde metni + İtalik"/>
    <w:rsid w:val="003F7A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Kaln">
    <w:name w:val="Gövde metni + Kalın"/>
    <w:rsid w:val="003F7A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">
    <w:name w:val="Gövde metni"/>
    <w:rsid w:val="003F7A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paragraph" w:styleId="ListeParagraf">
    <w:name w:val="List Paragraph"/>
    <w:basedOn w:val="Normal"/>
    <w:uiPriority w:val="34"/>
    <w:qFormat/>
    <w:rsid w:val="006B0D47"/>
    <w:pPr>
      <w:ind w:left="720"/>
      <w:contextualSpacing/>
    </w:pPr>
  </w:style>
  <w:style w:type="paragraph" w:styleId="AralkYok">
    <w:name w:val="No Spacing"/>
    <w:uiPriority w:val="1"/>
    <w:qFormat/>
    <w:rsid w:val="00AB168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CLASSIFICATIONDATETIME%">11:10 04/11/2019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RightsWATCHMark">3|DHMI-DHMI Genel-TASNIF DISI|{00000000-0000-0000-0000-000000000000}</XML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C1F86-3073-42C7-9FF1-F9DB6CF8E39E}">
  <ds:schemaRefs/>
</ds:datastoreItem>
</file>

<file path=customXml/itemProps2.xml><?xml version="1.0" encoding="utf-8"?>
<ds:datastoreItem xmlns:ds="http://schemas.openxmlformats.org/officeDocument/2006/customXml" ds:itemID="{E53A0854-0A3B-441E-BDF4-9BDD4A1128BC}">
  <ds:schemaRefs/>
</ds:datastoreItem>
</file>

<file path=customXml/itemProps3.xml><?xml version="1.0" encoding="utf-8"?>
<ds:datastoreItem xmlns:ds="http://schemas.openxmlformats.org/officeDocument/2006/customXml" ds:itemID="{59359C95-A69E-4D38-817E-DB7DFCEFF9C4}">
  <ds:schemaRefs/>
</ds:datastoreItem>
</file>

<file path=customXml/itemProps4.xml><?xml version="1.0" encoding="utf-8"?>
<ds:datastoreItem xmlns:ds="http://schemas.openxmlformats.org/officeDocument/2006/customXml" ds:itemID="{E71CEB3F-1A04-4E57-BD15-BDB021E122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195BE4-C3DB-45DF-84DE-1322B821C782}"/>
</file>

<file path=customXml/itemProps6.xml><?xml version="1.0" encoding="utf-8"?>
<ds:datastoreItem xmlns:ds="http://schemas.openxmlformats.org/officeDocument/2006/customXml" ds:itemID="{F0C6283B-BD51-4ECB-B987-B2A898A5286A}"/>
</file>

<file path=customXml/itemProps7.xml><?xml version="1.0" encoding="utf-8"?>
<ds:datastoreItem xmlns:ds="http://schemas.openxmlformats.org/officeDocument/2006/customXml" ds:itemID="{889EFF4D-CEE2-4A1D-A38D-F4CA58762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606</Words>
  <Characters>4259</Characters>
  <Application>Microsoft Office Word</Application>
  <DocSecurity>0</DocSecurity>
  <Lines>101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TOPTAŞ</dc:creator>
  <cp:keywords/>
  <dc:description/>
  <cp:lastModifiedBy>Güler PİRİM</cp:lastModifiedBy>
  <cp:revision>74</cp:revision>
  <cp:lastPrinted>2019-11-04T11:11:00Z</cp:lastPrinted>
  <dcterms:created xsi:type="dcterms:W3CDTF">2018-11-21T13:05:00Z</dcterms:created>
  <dcterms:modified xsi:type="dcterms:W3CDTF">2020-03-11T06:04:00Z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 Genel-TASNIF DISI|{00000000-0000-0000-0000-000000000000}</vt:lpwstr>
  </property>
</Properties>
</file>